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AFA8" w14:textId="77777777" w:rsidR="00000000" w:rsidRPr="00D7456F" w:rsidRDefault="005745F0">
      <w:pPr>
        <w:widowControl w:val="0"/>
        <w:tabs>
          <w:tab w:val="center" w:pos="4680"/>
        </w:tabs>
        <w:jc w:val="both"/>
        <w:rPr>
          <w:rFonts w:ascii="Arial" w:hAnsi="Arial" w:cs="Arial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msRmn 12pt" w:hAnsi="TmsRmn 12pt"/>
          <w:b/>
        </w:rPr>
        <w:tab/>
      </w:r>
      <w:r w:rsidRPr="00D7456F">
        <w:rPr>
          <w:rFonts w:ascii="Arial" w:hAnsi="Arial" w:cs="Arial"/>
          <w:b/>
        </w:rPr>
        <w:t>STATE OF ILLINOIS</w:t>
      </w:r>
    </w:p>
    <w:p w14:paraId="0083B9B8" w14:textId="77777777" w:rsidR="00000000" w:rsidRPr="00D7456F" w:rsidRDefault="005745F0">
      <w:pPr>
        <w:widowControl w:val="0"/>
        <w:tabs>
          <w:tab w:val="center" w:pos="4680"/>
        </w:tabs>
        <w:rPr>
          <w:rFonts w:ascii="Arial" w:hAnsi="Arial" w:cs="Arial"/>
          <w:b/>
        </w:rPr>
      </w:pPr>
      <w:r w:rsidRPr="00D7456F">
        <w:rPr>
          <w:rFonts w:ascii="Arial" w:hAnsi="Arial" w:cs="Arial"/>
          <w:b/>
        </w:rPr>
        <w:tab/>
        <w:t>IN THE CIRCUIT COURT OF THE 18TH JUDICIAL CIRCUIT</w:t>
      </w:r>
    </w:p>
    <w:p w14:paraId="58787AB8" w14:textId="77777777" w:rsidR="00000000" w:rsidRPr="00D7456F" w:rsidRDefault="005745F0">
      <w:pPr>
        <w:widowControl w:val="0"/>
        <w:tabs>
          <w:tab w:val="center" w:pos="4680"/>
        </w:tabs>
        <w:rPr>
          <w:rFonts w:ascii="Arial" w:hAnsi="Arial" w:cs="Arial"/>
          <w:b/>
        </w:rPr>
      </w:pPr>
      <w:r w:rsidRPr="00D7456F">
        <w:rPr>
          <w:rFonts w:ascii="Arial" w:hAnsi="Arial" w:cs="Arial"/>
          <w:b/>
        </w:rPr>
        <w:tab/>
        <w:t>COUNTY OF DU PAGE</w:t>
      </w:r>
    </w:p>
    <w:p w14:paraId="2108CB80" w14:textId="77777777" w:rsidR="00000000" w:rsidRPr="00D7456F" w:rsidRDefault="005745F0">
      <w:pPr>
        <w:widowControl w:val="0"/>
        <w:tabs>
          <w:tab w:val="left" w:pos="720"/>
          <w:tab w:val="left" w:pos="5040"/>
          <w:tab w:val="left" w:pos="5760"/>
        </w:tabs>
        <w:rPr>
          <w:rFonts w:ascii="Arial" w:hAnsi="Arial" w:cs="Arial"/>
        </w:rPr>
      </w:pPr>
    </w:p>
    <w:p w14:paraId="6973A698" w14:textId="77777777" w:rsidR="00000000" w:rsidRPr="00D7456F" w:rsidRDefault="005745F0">
      <w:pPr>
        <w:widowControl w:val="0"/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>PEOPLE OF THE STATE OF ILLINOIS</w:t>
      </w:r>
      <w:r w:rsidRPr="00D7456F">
        <w:rPr>
          <w:rFonts w:ascii="Arial" w:hAnsi="Arial" w:cs="Arial"/>
        </w:rPr>
        <w:tab/>
        <w:t>)</w:t>
      </w:r>
    </w:p>
    <w:p w14:paraId="14CAFECC" w14:textId="77777777" w:rsidR="00000000" w:rsidRPr="00D7456F" w:rsidRDefault="005745F0">
      <w:pPr>
        <w:widowControl w:val="0"/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 xml:space="preserve">                  PLAINTIFF,</w:t>
      </w:r>
      <w:r w:rsidRPr="00D7456F">
        <w:rPr>
          <w:rFonts w:ascii="Arial" w:hAnsi="Arial" w:cs="Arial"/>
        </w:rPr>
        <w:tab/>
        <w:t>)</w:t>
      </w:r>
    </w:p>
    <w:p w14:paraId="4A9D88F6" w14:textId="77777777" w:rsidR="00000000" w:rsidRPr="00D7456F" w:rsidRDefault="005745F0">
      <w:pPr>
        <w:widowControl w:val="0"/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ab/>
      </w:r>
      <w:r w:rsidRPr="00D7456F">
        <w:rPr>
          <w:rFonts w:ascii="Arial" w:hAnsi="Arial" w:cs="Arial"/>
        </w:rPr>
        <w:tab/>
        <w:t>)</w:t>
      </w:r>
    </w:p>
    <w:p w14:paraId="189C2FB1" w14:textId="77777777" w:rsidR="00000000" w:rsidRPr="00D7456F" w:rsidRDefault="005745F0">
      <w:pPr>
        <w:widowControl w:val="0"/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ab/>
      </w:r>
      <w:r w:rsidRPr="00D7456F">
        <w:rPr>
          <w:rFonts w:ascii="Arial" w:hAnsi="Arial" w:cs="Arial"/>
        </w:rPr>
        <w:tab/>
        <w:t>)</w:t>
      </w:r>
      <w:r w:rsidRPr="00D7456F">
        <w:rPr>
          <w:rFonts w:ascii="Arial" w:hAnsi="Arial" w:cs="Arial"/>
        </w:rPr>
        <w:tab/>
        <w:t>CRIMINAL</w:t>
      </w:r>
    </w:p>
    <w:p w14:paraId="3ADE697A" w14:textId="77777777" w:rsidR="00000000" w:rsidRPr="00D7456F" w:rsidRDefault="005745F0">
      <w:pPr>
        <w:widowControl w:val="0"/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ab/>
        <w:t>VS.</w:t>
      </w:r>
      <w:r w:rsidRPr="00D7456F">
        <w:rPr>
          <w:rFonts w:ascii="Arial" w:hAnsi="Arial" w:cs="Arial"/>
        </w:rPr>
        <w:tab/>
        <w:t>)</w:t>
      </w:r>
      <w:r w:rsidRPr="00D7456F">
        <w:rPr>
          <w:rFonts w:ascii="Arial" w:hAnsi="Arial" w:cs="Arial"/>
        </w:rPr>
        <w:tab/>
        <w:t>No.</w:t>
      </w:r>
      <w:r w:rsidRPr="00D7456F">
        <w:rPr>
          <w:rFonts w:ascii="Arial" w:hAnsi="Arial" w:cs="Arial"/>
        </w:rPr>
        <w:tab/>
        <w:t>03 CF 2343</w:t>
      </w:r>
    </w:p>
    <w:p w14:paraId="01812E70" w14:textId="77777777" w:rsidR="00000000" w:rsidRPr="00D7456F" w:rsidRDefault="005745F0">
      <w:pPr>
        <w:widowControl w:val="0"/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ab/>
      </w:r>
      <w:r w:rsidRPr="00D7456F">
        <w:rPr>
          <w:rFonts w:ascii="Arial" w:hAnsi="Arial" w:cs="Arial"/>
        </w:rPr>
        <w:tab/>
        <w:t>)</w:t>
      </w:r>
    </w:p>
    <w:p w14:paraId="53DF2C3E" w14:textId="77777777" w:rsidR="00000000" w:rsidRPr="00D7456F" w:rsidRDefault="005745F0">
      <w:pPr>
        <w:widowControl w:val="0"/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ab/>
      </w:r>
      <w:r w:rsidRPr="00D7456F">
        <w:rPr>
          <w:rFonts w:ascii="Arial" w:hAnsi="Arial" w:cs="Arial"/>
        </w:rPr>
        <w:tab/>
        <w:t>)</w:t>
      </w:r>
    </w:p>
    <w:p w14:paraId="33B13126" w14:textId="77777777" w:rsidR="00000000" w:rsidRPr="00D7456F" w:rsidRDefault="005745F0">
      <w:pPr>
        <w:widowControl w:val="0"/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>MARVIN HOWARD</w:t>
      </w:r>
      <w:r w:rsidRPr="00D7456F">
        <w:rPr>
          <w:rFonts w:ascii="Arial" w:hAnsi="Arial" w:cs="Arial"/>
        </w:rPr>
        <w:tab/>
        <w:t>)</w:t>
      </w:r>
    </w:p>
    <w:p w14:paraId="2FB74FF4" w14:textId="77777777" w:rsidR="00000000" w:rsidRPr="00D7456F" w:rsidRDefault="005745F0">
      <w:pPr>
        <w:widowControl w:val="0"/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 xml:space="preserve">                </w:t>
      </w:r>
      <w:r w:rsidRPr="00D7456F">
        <w:rPr>
          <w:rFonts w:ascii="Arial" w:hAnsi="Arial" w:cs="Arial"/>
        </w:rPr>
        <w:t xml:space="preserve">  DEFENDANT.</w:t>
      </w:r>
      <w:r w:rsidRPr="00D7456F">
        <w:rPr>
          <w:rFonts w:ascii="Arial" w:hAnsi="Arial" w:cs="Arial"/>
        </w:rPr>
        <w:tab/>
        <w:t>)</w:t>
      </w:r>
    </w:p>
    <w:p w14:paraId="2683129E" w14:textId="77777777" w:rsidR="00000000" w:rsidRPr="00D7456F" w:rsidRDefault="005745F0">
      <w:pPr>
        <w:widowControl w:val="0"/>
        <w:tabs>
          <w:tab w:val="center" w:pos="4680"/>
        </w:tabs>
        <w:rPr>
          <w:rFonts w:ascii="Arial" w:hAnsi="Arial" w:cs="Arial"/>
        </w:rPr>
      </w:pPr>
      <w:r w:rsidRPr="00D7456F">
        <w:rPr>
          <w:rFonts w:ascii="Arial" w:hAnsi="Arial" w:cs="Arial"/>
        </w:rPr>
        <w:tab/>
      </w:r>
      <w:r w:rsidRPr="00D7456F">
        <w:rPr>
          <w:rFonts w:ascii="Arial" w:hAnsi="Arial" w:cs="Arial"/>
          <w:b/>
        </w:rPr>
        <w:t>FIRST AMENDED</w:t>
      </w:r>
    </w:p>
    <w:p w14:paraId="0D6DFC1C" w14:textId="77777777" w:rsidR="00000000" w:rsidRPr="00D7456F" w:rsidRDefault="005745F0">
      <w:pPr>
        <w:widowControl w:val="0"/>
        <w:tabs>
          <w:tab w:val="center" w:pos="4680"/>
        </w:tabs>
        <w:rPr>
          <w:rFonts w:ascii="Arial" w:hAnsi="Arial" w:cs="Arial"/>
          <w:b/>
        </w:rPr>
      </w:pPr>
      <w:r w:rsidRPr="00D7456F">
        <w:rPr>
          <w:rFonts w:ascii="Arial" w:hAnsi="Arial" w:cs="Arial"/>
          <w:b/>
        </w:rPr>
        <w:tab/>
        <w:t xml:space="preserve">MOTION TO DECLARE THE DRUG-INDUCED </w:t>
      </w:r>
    </w:p>
    <w:p w14:paraId="4F6D874D" w14:textId="77777777" w:rsidR="00000000" w:rsidRPr="00D7456F" w:rsidRDefault="005745F0">
      <w:pPr>
        <w:widowControl w:val="0"/>
        <w:tabs>
          <w:tab w:val="center" w:pos="4680"/>
        </w:tabs>
        <w:rPr>
          <w:rFonts w:ascii="Arial" w:hAnsi="Arial" w:cs="Arial"/>
          <w:b/>
        </w:rPr>
      </w:pPr>
      <w:r w:rsidRPr="00D7456F">
        <w:rPr>
          <w:rFonts w:ascii="Arial" w:hAnsi="Arial" w:cs="Arial"/>
          <w:b/>
        </w:rPr>
        <w:tab/>
        <w:t>HOMICIDE STATUTE UNCONSTITUTIONAL</w:t>
      </w:r>
    </w:p>
    <w:p w14:paraId="37EC799A" w14:textId="77777777" w:rsidR="00000000" w:rsidRPr="00D7456F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rPr>
          <w:rFonts w:ascii="Arial" w:hAnsi="Arial" w:cs="Arial"/>
        </w:rPr>
      </w:pPr>
    </w:p>
    <w:p w14:paraId="0601E09E" w14:textId="77777777" w:rsidR="00000000" w:rsidRPr="00D7456F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64" w:lineRule="auto"/>
        <w:rPr>
          <w:rFonts w:ascii="Arial" w:hAnsi="Arial" w:cs="Arial"/>
        </w:rPr>
      </w:pPr>
      <w:r w:rsidRPr="00D7456F">
        <w:rPr>
          <w:rFonts w:ascii="Arial" w:hAnsi="Arial" w:cs="Arial"/>
        </w:rPr>
        <w:tab/>
        <w:t>NOW COMES the defendant, MARVIN HOWARD, by his attorney, Public Defender Robert A. Miller, and moves this Honorable Court to declare the Drug-Induced Ho</w:t>
      </w:r>
      <w:r w:rsidRPr="00D7456F">
        <w:rPr>
          <w:rFonts w:ascii="Arial" w:hAnsi="Arial" w:cs="Arial"/>
        </w:rPr>
        <w:t xml:space="preserve">micide Statute, 720 ILCS 5/9-3.3 unconstitutional for the following reasons:  </w:t>
      </w:r>
    </w:p>
    <w:p w14:paraId="1112AE72" w14:textId="77777777" w:rsidR="00000000" w:rsidRPr="00D7456F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64" w:lineRule="auto"/>
        <w:rPr>
          <w:rFonts w:ascii="Arial" w:hAnsi="Arial" w:cs="Arial"/>
        </w:rPr>
      </w:pPr>
    </w:p>
    <w:p w14:paraId="14BB02DD" w14:textId="77777777" w:rsidR="00000000" w:rsidRPr="00D7456F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64" w:lineRule="auto"/>
        <w:ind w:left="1080" w:hanging="1080"/>
        <w:rPr>
          <w:rFonts w:ascii="Arial" w:hAnsi="Arial" w:cs="Arial"/>
        </w:rPr>
      </w:pPr>
      <w:r w:rsidRPr="00D7456F">
        <w:rPr>
          <w:rFonts w:ascii="Arial" w:hAnsi="Arial" w:cs="Arial"/>
        </w:rPr>
        <w:tab/>
        <w:t>1.</w:t>
      </w:r>
      <w:r w:rsidRPr="00D7456F">
        <w:rPr>
          <w:rFonts w:ascii="Arial" w:hAnsi="Arial" w:cs="Arial"/>
        </w:rPr>
        <w:tab/>
        <w:t xml:space="preserve">A constitutional challenge to a statute can be raised at any time.  </w:t>
      </w:r>
      <w:r w:rsidRPr="00D7456F">
        <w:rPr>
          <w:rFonts w:ascii="Arial" w:hAnsi="Arial" w:cs="Arial"/>
        </w:rPr>
        <w:t>People v. Bryant</w:t>
      </w:r>
      <w:r w:rsidRPr="00D7456F">
        <w:rPr>
          <w:rFonts w:ascii="Arial" w:hAnsi="Arial" w:cs="Arial"/>
        </w:rPr>
        <w:t xml:space="preserve"> (1989), 128 Ill.2d 448, 539 N.E.2d 1221, 132 </w:t>
      </w:r>
      <w:proofErr w:type="spellStart"/>
      <w:r w:rsidRPr="00D7456F">
        <w:rPr>
          <w:rFonts w:ascii="Arial" w:hAnsi="Arial" w:cs="Arial"/>
        </w:rPr>
        <w:t>Ill.Dec</w:t>
      </w:r>
      <w:proofErr w:type="spellEnd"/>
      <w:r w:rsidRPr="00D7456F">
        <w:rPr>
          <w:rFonts w:ascii="Arial" w:hAnsi="Arial" w:cs="Arial"/>
        </w:rPr>
        <w:t xml:space="preserve">. 415.  </w:t>
      </w:r>
      <w:r w:rsidRPr="00D7456F">
        <w:rPr>
          <w:rFonts w:ascii="Arial" w:hAnsi="Arial" w:cs="Arial"/>
        </w:rPr>
        <w:t xml:space="preserve">People v. </w:t>
      </w:r>
      <w:proofErr w:type="spellStart"/>
      <w:r w:rsidRPr="00D7456F">
        <w:rPr>
          <w:rFonts w:ascii="Arial" w:hAnsi="Arial" w:cs="Arial"/>
        </w:rPr>
        <w:t>Zeisler</w:t>
      </w:r>
      <w:proofErr w:type="spellEnd"/>
      <w:r w:rsidRPr="00D7456F">
        <w:rPr>
          <w:rFonts w:ascii="Arial" w:hAnsi="Arial" w:cs="Arial"/>
        </w:rPr>
        <w:t xml:space="preserve"> </w:t>
      </w:r>
      <w:r w:rsidRPr="00D7456F">
        <w:rPr>
          <w:rFonts w:ascii="Arial" w:hAnsi="Arial" w:cs="Arial"/>
        </w:rPr>
        <w:t>(1988), 1</w:t>
      </w:r>
      <w:r w:rsidRPr="00D7456F">
        <w:rPr>
          <w:rFonts w:ascii="Arial" w:hAnsi="Arial" w:cs="Arial"/>
        </w:rPr>
        <w:t xml:space="preserve">25 Ill.2d 42, 125 </w:t>
      </w:r>
      <w:proofErr w:type="spellStart"/>
      <w:r w:rsidRPr="00D7456F">
        <w:rPr>
          <w:rFonts w:ascii="Arial" w:hAnsi="Arial" w:cs="Arial"/>
        </w:rPr>
        <w:t>Ill.Dec</w:t>
      </w:r>
      <w:proofErr w:type="spellEnd"/>
      <w:r w:rsidRPr="00D7456F">
        <w:rPr>
          <w:rFonts w:ascii="Arial" w:hAnsi="Arial" w:cs="Arial"/>
        </w:rPr>
        <w:t>. 845, 531 N.E.2d 24.</w:t>
      </w:r>
    </w:p>
    <w:p w14:paraId="65699BA5" w14:textId="77777777" w:rsidR="00000000" w:rsidRPr="00D7456F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64" w:lineRule="auto"/>
        <w:rPr>
          <w:rFonts w:ascii="Arial" w:hAnsi="Arial" w:cs="Arial"/>
        </w:rPr>
      </w:pPr>
    </w:p>
    <w:p w14:paraId="49AEF0CD" w14:textId="0A2FB82C" w:rsidR="00000000" w:rsidRPr="005745F0" w:rsidRDefault="005745F0" w:rsidP="00D7456F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D7456F">
        <w:rPr>
          <w:rFonts w:ascii="Arial" w:hAnsi="Arial" w:cs="Arial"/>
        </w:rPr>
        <w:tab/>
      </w:r>
      <w:r w:rsidRPr="00D7456F">
        <w:rPr>
          <w:rFonts w:ascii="Arial" w:hAnsi="Arial" w:cs="Arial"/>
        </w:rPr>
        <w:t>2.</w:t>
      </w:r>
      <w:r w:rsidRPr="00D7456F">
        <w:rPr>
          <w:rFonts w:ascii="Arial" w:hAnsi="Arial" w:cs="Arial"/>
        </w:rPr>
        <w:tab/>
        <w:t xml:space="preserve">The Statute defining Drug Induced Homicide defines Drug Induced Homicide as </w:t>
      </w:r>
      <w:r w:rsidRPr="00D7456F">
        <w:rPr>
          <w:rFonts w:ascii="Arial" w:hAnsi="Arial" w:cs="Arial"/>
        </w:rPr>
        <w:t xml:space="preserve">    "A person who violates Section 401 of the Illinois Controlled Substances </w:t>
      </w:r>
      <w:r w:rsidRPr="005745F0">
        <w:rPr>
          <w:rFonts w:ascii="Arial" w:hAnsi="Arial" w:cs="Arial"/>
          <w:color w:val="000000"/>
        </w:rPr>
        <w:t>Act</w:t>
      </w:r>
      <w:bookmarkStart w:id="0" w:name="FN;B1"/>
      <w:bookmarkEnd w:id="0"/>
      <w:r w:rsidRPr="005745F0">
        <w:rPr>
          <w:rFonts w:ascii="Arial" w:hAnsi="Arial" w:cs="Arial"/>
          <w:color w:val="000000"/>
        </w:rPr>
        <w:fldChar w:fldCharType="begin"/>
      </w:r>
      <w:r w:rsidRPr="005745F0">
        <w:rPr>
          <w:rFonts w:ascii="Arial" w:hAnsi="Arial" w:cs="Arial"/>
          <w:color w:val="000000"/>
        </w:rPr>
        <w:instrText xml:space="preserve"> HYPERLINK </w:instrText>
      </w:r>
      <w:r w:rsidRPr="005745F0">
        <w:rPr>
          <w:rFonts w:ascii="Arial" w:hAnsi="Arial" w:cs="Arial"/>
          <w:color w:val="000000"/>
        </w:rPr>
      </w:r>
      <w:r w:rsidRPr="005745F0">
        <w:rPr>
          <w:rFonts w:ascii="Arial" w:hAnsi="Arial" w:cs="Arial"/>
          <w:color w:val="000000"/>
        </w:rPr>
        <w:fldChar w:fldCharType="separate"/>
      </w:r>
      <w:r w:rsidRPr="005745F0">
        <w:rPr>
          <w:rStyle w:val="WPHyperlink"/>
          <w:rFonts w:ascii="Arial" w:hAnsi="Arial" w:cs="Arial"/>
          <w:color w:val="000000"/>
          <w:u w:val="none"/>
        </w:rPr>
        <w:fldChar w:fldCharType="end"/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 by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unlawfully delivering a controlled substance to another, and </w:t>
      </w:r>
      <w:bookmarkStart w:id="1" w:name="SDU_2"/>
      <w:bookmarkEnd w:id="1"/>
      <w:r w:rsidRPr="005745F0">
        <w:rPr>
          <w:rStyle w:val="WPHyperlink"/>
          <w:rFonts w:ascii="Arial" w:hAnsi="Arial" w:cs="Arial"/>
          <w:color w:val="000000"/>
          <w:u w:val="none"/>
        </w:rPr>
        <w:t xml:space="preserve">any person dies as a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result of the injection, inhalation or ingestion of any amount of that controlled </w:t>
      </w:r>
      <w:r w:rsidRPr="005745F0">
        <w:rPr>
          <w:rStyle w:val="WPHyperlink"/>
          <w:rFonts w:ascii="Arial" w:hAnsi="Arial" w:cs="Arial"/>
          <w:color w:val="000000"/>
          <w:u w:val="none"/>
        </w:rPr>
        <w:t>substance, commits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 the offense of </w:t>
      </w:r>
      <w:bookmarkStart w:id="2" w:name="SearchTerm"/>
      <w:bookmarkEnd w:id="2"/>
      <w:r w:rsidRPr="005745F0">
        <w:rPr>
          <w:rStyle w:val="WPHyperlink"/>
          <w:rFonts w:ascii="Arial" w:hAnsi="Arial" w:cs="Arial"/>
          <w:color w:val="000000"/>
          <w:u w:val="none"/>
        </w:rPr>
        <w:t>drug-induced homicide."</w:t>
      </w:r>
    </w:p>
    <w:p w14:paraId="5758B965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01CD3821" w14:textId="51782D31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3.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>The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 Drug-Induced Homicide Statute is unconstitutional in that it is unduly vague and </w:t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over</w:t>
      </w:r>
      <w:r w:rsidRPr="005745F0">
        <w:rPr>
          <w:rStyle w:val="WPHyperlink"/>
          <w:rFonts w:ascii="Arial" w:hAnsi="Arial" w:cs="Arial"/>
          <w:color w:val="000000"/>
          <w:u w:val="none"/>
        </w:rPr>
        <w:t>broad .</w:t>
      </w:r>
      <w:proofErr w:type="gramEnd"/>
    </w:p>
    <w:p w14:paraId="38EEF4B3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422E3F09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4.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 Drug-Induced Homicide Statute is void for vagueness under the Eighth Amendment to the United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State's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C</w:t>
      </w:r>
      <w:r w:rsidRPr="005745F0">
        <w:rPr>
          <w:rStyle w:val="WPHyperlink"/>
          <w:rFonts w:ascii="Arial" w:hAnsi="Arial" w:cs="Arial"/>
          <w:color w:val="000000"/>
          <w:u w:val="none"/>
        </w:rPr>
        <w:t>onstitution, the Due Process clause and the Equal Protection clause of the Fourteenth Amendment to the United States Constitution, and Article 1, sections 2 and 11 of the Illinois state Constitution.</w:t>
      </w:r>
    </w:p>
    <w:p w14:paraId="03351C1B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2783F780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5.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The  Drug</w:t>
      </w:r>
      <w:proofErr w:type="gramEnd"/>
      <w:r w:rsidRPr="005745F0">
        <w:rPr>
          <w:rStyle w:val="WPHyperlink"/>
          <w:rFonts w:ascii="Arial" w:hAnsi="Arial" w:cs="Arial"/>
          <w:color w:val="000000"/>
          <w:u w:val="none"/>
        </w:rPr>
        <w:t>-Induced Homicide Statute is unconstitutio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nal as it does not include a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mens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rea to cause bodily harm.</w:t>
      </w:r>
    </w:p>
    <w:p w14:paraId="7069B15E" w14:textId="3FF789EF" w:rsidR="00000000" w:rsidRPr="005745F0" w:rsidRDefault="005745F0" w:rsidP="00D7456F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lastRenderedPageBreak/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>6.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Drug-Induced Homicide Statute is unconstitutional as it would allow a </w:t>
      </w:r>
      <w:bookmarkStart w:id="3" w:name="_GoBack"/>
      <w:bookmarkEnd w:id="3"/>
      <w:r w:rsidRPr="005745F0">
        <w:rPr>
          <w:rStyle w:val="WPHyperlink"/>
          <w:rFonts w:ascii="Arial" w:hAnsi="Arial" w:cs="Arial"/>
          <w:color w:val="000000"/>
          <w:u w:val="none"/>
        </w:rPr>
        <w:t>controlled substance to be delivered to an infinite number of persons, with equal ability to adulterate the controll</w:t>
      </w:r>
      <w:r w:rsidRPr="005745F0">
        <w:rPr>
          <w:rStyle w:val="WPHyperlink"/>
          <w:rFonts w:ascii="Arial" w:hAnsi="Arial" w:cs="Arial"/>
          <w:color w:val="000000"/>
          <w:u w:val="none"/>
        </w:rPr>
        <w:t>ed substance, and all persons in the chain of delivery would be statutorily guilty of the offense, if any person died as a result of the ingestion of said controlled substance.</w:t>
      </w:r>
    </w:p>
    <w:p w14:paraId="21C66560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532BE206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7.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The  Drug</w:t>
      </w:r>
      <w:proofErr w:type="gramEnd"/>
      <w:r w:rsidRPr="005745F0">
        <w:rPr>
          <w:rStyle w:val="WPHyperlink"/>
          <w:rFonts w:ascii="Arial" w:hAnsi="Arial" w:cs="Arial"/>
          <w:color w:val="000000"/>
          <w:u w:val="none"/>
        </w:rPr>
        <w:t>-Induced Homicide Statute  is unconstitutional as it allows for t</w:t>
      </w:r>
      <w:r w:rsidRPr="005745F0">
        <w:rPr>
          <w:rStyle w:val="WPHyperlink"/>
          <w:rFonts w:ascii="Arial" w:hAnsi="Arial" w:cs="Arial"/>
          <w:color w:val="000000"/>
          <w:u w:val="none"/>
        </w:rPr>
        <w:t>he existence of co-defendants without requiring said co-defendants to be aware of the others existence.</w:t>
      </w:r>
    </w:p>
    <w:p w14:paraId="558AEB53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4D72C59D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8.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The  Drug</w:t>
      </w:r>
      <w:proofErr w:type="gramEnd"/>
      <w:r w:rsidRPr="005745F0">
        <w:rPr>
          <w:rStyle w:val="WPHyperlink"/>
          <w:rFonts w:ascii="Arial" w:hAnsi="Arial" w:cs="Arial"/>
          <w:color w:val="000000"/>
          <w:u w:val="none"/>
        </w:rPr>
        <w:t>-Induced Homicide Statute is unconstitutional  as it allows for persons in the chain of custody to act with purposeful intent to harm, the</w:t>
      </w:r>
      <w:r w:rsidRPr="005745F0">
        <w:rPr>
          <w:rStyle w:val="WPHyperlink"/>
          <w:rFonts w:ascii="Arial" w:hAnsi="Arial" w:cs="Arial"/>
          <w:color w:val="000000"/>
          <w:u w:val="none"/>
        </w:rPr>
        <w:t>reby  imputing liability for a resulting death to others who are not otherwise legally accountable.</w:t>
      </w:r>
    </w:p>
    <w:p w14:paraId="4713F88B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600"/>
        <w:rPr>
          <w:rStyle w:val="WPHyperlink"/>
          <w:rFonts w:ascii="Arial" w:hAnsi="Arial" w:cs="Arial"/>
          <w:color w:val="000000"/>
          <w:u w:val="none"/>
        </w:rPr>
      </w:pPr>
    </w:p>
    <w:p w14:paraId="6432C489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9.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Drug-Induced Homicide Statute is unconstitutional in that it would treat a wife dispensing a single prescribed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tylenol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with codeine tablet to her h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usband, the same as a cocaine dealer supplying a user with cocaine, should the recipient of the respective controlled substance die as a result of the ingestion. </w:t>
      </w:r>
    </w:p>
    <w:p w14:paraId="0AAAA605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4FAFD705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10.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The  Drug</w:t>
      </w:r>
      <w:proofErr w:type="gramEnd"/>
      <w:r w:rsidRPr="005745F0">
        <w:rPr>
          <w:rStyle w:val="WPHyperlink"/>
          <w:rFonts w:ascii="Arial" w:hAnsi="Arial" w:cs="Arial"/>
          <w:color w:val="000000"/>
          <w:u w:val="none"/>
        </w:rPr>
        <w:t>-Induced Homicide Statute is unconstitutional in that prosecutors have the sol</w:t>
      </w:r>
      <w:r w:rsidRPr="005745F0">
        <w:rPr>
          <w:rStyle w:val="WPHyperlink"/>
          <w:rFonts w:ascii="Arial" w:hAnsi="Arial" w:cs="Arial"/>
          <w:color w:val="000000"/>
          <w:u w:val="none"/>
        </w:rPr>
        <w:t>e discretion against whom to charge with  Drug-Induced Homicide Statute, when  several potential defendants are identified in the chain of delivery.</w:t>
      </w:r>
    </w:p>
    <w:p w14:paraId="27D8C66A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4240A40E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11.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A penal statute must convey sufficiently definite warning as to the proscribed conduct when measured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by common understanding and practices.  People v. Haywood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(1987), 118 Ill.2d 263, 515 N.E.2d 45, 113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Ill.Dec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>. 236.</w:t>
      </w:r>
    </w:p>
    <w:p w14:paraId="44E274DE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3EAA42F0" w14:textId="1B927B28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12.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statute must provide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definite standards, </w:t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so as to</w:t>
      </w:r>
      <w:proofErr w:type="gram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avoid arbitrary and discriminatory enforcement and application by police officer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s, judges and juries.  </w:t>
      </w:r>
      <w:r w:rsidRPr="005745F0">
        <w:rPr>
          <w:rStyle w:val="WPHyperlink"/>
          <w:rFonts w:ascii="Arial" w:hAnsi="Arial" w:cs="Arial"/>
          <w:color w:val="000000"/>
        </w:rPr>
        <w:t xml:space="preserve">People v. Haywood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(1987), 118 Ill.2d 263, 515 N.E.2d 45, 113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Ill.Dec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>. 236.</w:t>
      </w:r>
    </w:p>
    <w:p w14:paraId="24D6C64F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5E82855C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13.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A criminal statute violates constitutional requirement of definiteness when it "...fails to give a person of ordinary intelligence fair notice that his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contemplated conduct is forbidden by the statute"  </w:t>
      </w:r>
      <w:r w:rsidRPr="005745F0">
        <w:rPr>
          <w:rStyle w:val="WPHyperlink"/>
          <w:rFonts w:ascii="Arial" w:hAnsi="Arial" w:cs="Arial"/>
          <w:color w:val="000000"/>
        </w:rPr>
        <w:t xml:space="preserve">People v. Polk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(1973), 10 </w:t>
      </w:r>
      <w:r w:rsidRPr="005745F0">
        <w:rPr>
          <w:rStyle w:val="WPHyperlink"/>
          <w:rFonts w:ascii="Arial" w:hAnsi="Arial" w:cs="Arial"/>
          <w:color w:val="000000"/>
          <w:u w:val="none"/>
        </w:rPr>
        <w:lastRenderedPageBreak/>
        <w:t>Ill.App.3d 408, 294 N.E.2d 113.</w:t>
      </w:r>
    </w:p>
    <w:p w14:paraId="50431142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</w:r>
    </w:p>
    <w:p w14:paraId="37F9EDF7" w14:textId="0A6A99C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14.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>On August 6, 2001, Public Act 92-256 was approved, which amended the Drug-Induced Homicide statute.</w:t>
      </w:r>
    </w:p>
    <w:p w14:paraId="369A2D21" w14:textId="77777777" w:rsidR="00D7456F" w:rsidRPr="005745F0" w:rsidRDefault="00D7456F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</w:p>
    <w:p w14:paraId="0E4A4234" w14:textId="53C2098D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15.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>Prior to the passage of Public Ac</w:t>
      </w:r>
      <w:r w:rsidRPr="005745F0">
        <w:rPr>
          <w:rStyle w:val="WPHyperlink"/>
          <w:rFonts w:ascii="Arial" w:hAnsi="Arial" w:cs="Arial"/>
          <w:color w:val="000000"/>
          <w:u w:val="none"/>
        </w:rPr>
        <w:t>t 92-256, the definition of Drug-Induced Homicide required a specific weight of controlled substance as defined in "subsection (a) or subsection (c) of section 401 of the Illinois Controlled Substances Act.</w:t>
      </w:r>
    </w:p>
    <w:p w14:paraId="55F559C3" w14:textId="77777777" w:rsidR="00D7456F" w:rsidRPr="005745F0" w:rsidRDefault="00D7456F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</w:p>
    <w:p w14:paraId="4400CE90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16.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regular session transcript of the 92nd </w:t>
      </w:r>
      <w:r w:rsidRPr="005745F0">
        <w:rPr>
          <w:rStyle w:val="WPHyperlink"/>
          <w:rFonts w:ascii="Arial" w:hAnsi="Arial" w:cs="Arial"/>
          <w:color w:val="000000"/>
          <w:u w:val="none"/>
        </w:rPr>
        <w:t>General Assembly, February 22, 2001, contains the floor discussion of House Bill 126, in the House, which was passed as Public Act 92-256, and effectively amended the Drug-Induced Homicide Statute.</w:t>
      </w:r>
    </w:p>
    <w:p w14:paraId="6E014D24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42F94E52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17.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transcript in the House clearly states that the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reason for the amendment to the statute removing the weight requirement was to include the drug ecstasy into the definition of Drug-Induced Homicide.  The transcript states that HB 126 closes the "loophole" with respect to the drugs."  The transcript also 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contains argument that "drug dealers are pushing the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ecstacy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much more so than even the cocaine or LSD type drugs.</w:t>
      </w:r>
    </w:p>
    <w:p w14:paraId="713E7D86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05626070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4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>18.   Clearly, the statute prior to amendment was intended to focus upon drug dealers, as the weight requirements exclude casual delivery of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 less than ten grams of heroin. (Subsection (c) of section 401).</w:t>
      </w:r>
    </w:p>
    <w:p w14:paraId="2A1A6BC0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52A46E07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19.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deletion of the threshold weight requirement not only acted to include the typical delivery of tablet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ecstacy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>, but also broadened the statute to include any amount of any controlled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 substance by any person.  </w:t>
      </w:r>
    </w:p>
    <w:p w14:paraId="091DF51D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5D510298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20.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>The regular session transcript of the 92nd General Assembly, May 10, 2001, contains the floor discussion of House Bill 126, in the Senate, which was passed as Public Act 92-256, and effectively amended the Drug-Induced Hom</w:t>
      </w:r>
      <w:r w:rsidRPr="005745F0">
        <w:rPr>
          <w:rStyle w:val="WPHyperlink"/>
          <w:rFonts w:ascii="Arial" w:hAnsi="Arial" w:cs="Arial"/>
          <w:color w:val="000000"/>
          <w:u w:val="none"/>
        </w:rPr>
        <w:t>icide Statute.</w:t>
      </w:r>
    </w:p>
    <w:p w14:paraId="07DD6FBE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55147C6D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21.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>HB 126 dealt with Drug-Induced Homicide, Drug Induced Infliction of Great Bodily Harm, and the Illinois Controlled Substances Act.</w:t>
      </w:r>
    </w:p>
    <w:p w14:paraId="0DF6487A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3C4732DB" w14:textId="37CBAC01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22.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floor discussion commingled argument regarding all </w:t>
      </w:r>
      <w:r w:rsidRPr="005745F0">
        <w:rPr>
          <w:rStyle w:val="WPHyperlink"/>
          <w:rFonts w:ascii="Arial" w:hAnsi="Arial" w:cs="Arial"/>
          <w:color w:val="000000"/>
          <w:u w:val="none"/>
        </w:rPr>
        <w:t>three statutes in the Senate floor debate.</w:t>
      </w:r>
    </w:p>
    <w:p w14:paraId="1276E0CA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23.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introduction of HB 126 by Senator Dillard explained that the bill amends the criminal code by providing stronger sentences for the delivery of designer drugs like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ecstacy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.  He then elaborates on the effects and usage of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ecstacy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>.</w:t>
      </w:r>
    </w:p>
    <w:p w14:paraId="3F974757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2998B57D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24.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>Page 99 of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 the senate transcript contains a question from Senator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Molaro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inquiring as to the amount of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ecstacy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that would trigger the statute.  Senator Dillard responded that it would be a delivery of 15 pills or 15 grams.  However, no one identified which statute w</w:t>
      </w:r>
      <w:r w:rsidRPr="005745F0">
        <w:rPr>
          <w:rStyle w:val="WPHyperlink"/>
          <w:rFonts w:ascii="Arial" w:hAnsi="Arial" w:cs="Arial"/>
          <w:color w:val="000000"/>
          <w:u w:val="none"/>
        </w:rPr>
        <w:t>ould be triggered by a weight requirement.</w:t>
      </w:r>
    </w:p>
    <w:p w14:paraId="627750ED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1668901B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25.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 On page 101 of the Senate Transcript, Senator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Molaro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references an example of an </w:t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18 pill</w:t>
      </w:r>
      <w:proofErr w:type="gram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delivery, and a resulting death be punishable from 6-30 years.</w:t>
      </w:r>
    </w:p>
    <w:p w14:paraId="446D26E3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2A79AC75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26.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On page 102 of the Senate Transcript Senator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Mol</w:t>
      </w:r>
      <w:r w:rsidRPr="005745F0">
        <w:rPr>
          <w:rStyle w:val="WPHyperlink"/>
          <w:rFonts w:ascii="Arial" w:hAnsi="Arial" w:cs="Arial"/>
          <w:color w:val="000000"/>
          <w:u w:val="none"/>
        </w:rPr>
        <w:t>aro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again references an example of an a person carrying 15 to 18 pills, and </w:t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a  death</w:t>
      </w:r>
      <w:proofErr w:type="gram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to be punishable from 6-30 years.</w:t>
      </w:r>
    </w:p>
    <w:p w14:paraId="18D9BDC0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74513FE5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27.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 xml:space="preserve">The implication from Senator </w:t>
      </w:r>
      <w:proofErr w:type="spellStart"/>
      <w:r w:rsidRPr="005745F0">
        <w:rPr>
          <w:rStyle w:val="WPHyperlink"/>
          <w:rFonts w:ascii="Arial" w:hAnsi="Arial" w:cs="Arial"/>
          <w:color w:val="000000"/>
          <w:u w:val="none"/>
        </w:rPr>
        <w:t>Molaro</w:t>
      </w:r>
      <w:proofErr w:type="spell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was that the 15 pill or </w:t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15 gram</w:t>
      </w:r>
      <w:proofErr w:type="gramEnd"/>
      <w:r w:rsidRPr="005745F0">
        <w:rPr>
          <w:rStyle w:val="WPHyperlink"/>
          <w:rFonts w:ascii="Arial" w:hAnsi="Arial" w:cs="Arial"/>
          <w:color w:val="000000"/>
          <w:u w:val="none"/>
        </w:rPr>
        <w:t xml:space="preserve"> requirement was mirrored in both the Drug-Induced Homicide and </w:t>
      </w:r>
      <w:r w:rsidRPr="005745F0">
        <w:rPr>
          <w:rStyle w:val="WPHyperlink"/>
          <w:rFonts w:ascii="Arial" w:hAnsi="Arial" w:cs="Arial"/>
          <w:color w:val="000000"/>
          <w:u w:val="none"/>
        </w:rPr>
        <w:t>the Illinois Controlled Substances Act.  This mischaracterization was not correct on the floor.</w:t>
      </w:r>
    </w:p>
    <w:p w14:paraId="6C0D2987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4FFF0B44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ind w:left="1080" w:hanging="1080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28.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>The Amendment was so confusing from its inception that it failed to inform legislators what conduct is forbidden by the statute.</w:t>
      </w:r>
    </w:p>
    <w:p w14:paraId="066006D9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 xml:space="preserve"> </w:t>
      </w:r>
    </w:p>
    <w:p w14:paraId="2CF36FD3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  <w:t>WHEREFORE, the Defenda</w:t>
      </w:r>
      <w:r w:rsidRPr="005745F0">
        <w:rPr>
          <w:rStyle w:val="WPHyperlink"/>
          <w:rFonts w:ascii="Arial" w:hAnsi="Arial" w:cs="Arial"/>
          <w:color w:val="000000"/>
          <w:u w:val="none"/>
        </w:rPr>
        <w:t xml:space="preserve">nt prays this Court enter an Order declaring the Drug-Induced Homicide Statute, 720 ILCS 5/9-3.3 unconstitutional </w:t>
      </w:r>
    </w:p>
    <w:p w14:paraId="1215C5F3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6857BC03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</w:p>
    <w:p w14:paraId="08D4BCE6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>By________________________</w:t>
      </w:r>
    </w:p>
    <w:p w14:paraId="645F760E" w14:textId="1F87CCE2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64" w:lineRule="auto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  <w:t>Robert A. Miller, Public Defender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="00D7456F" w:rsidRPr="005745F0">
        <w:rPr>
          <w:rStyle w:val="WPHyperlink"/>
          <w:rFonts w:ascii="Arial" w:hAnsi="Arial" w:cs="Arial"/>
          <w:color w:val="000000"/>
          <w:u w:val="none"/>
        </w:rPr>
        <w:tab/>
      </w:r>
      <w:r w:rsidR="00D7456F"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>Attorney for the Defendant</w:t>
      </w:r>
    </w:p>
    <w:p w14:paraId="3D40E143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87" w:lineRule="auto"/>
        <w:rPr>
          <w:rStyle w:val="WPHyperlink"/>
          <w:rFonts w:ascii="Arial" w:hAnsi="Arial" w:cs="Arial"/>
          <w:color w:val="000000"/>
          <w:u w:val="none"/>
        </w:rPr>
      </w:pPr>
    </w:p>
    <w:p w14:paraId="7D0E8993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87" w:lineRule="auto"/>
        <w:rPr>
          <w:rStyle w:val="WPHyperlink"/>
          <w:rFonts w:ascii="Arial" w:hAnsi="Arial" w:cs="Arial"/>
          <w:color w:val="000000"/>
          <w:u w:val="none"/>
        </w:rPr>
      </w:pPr>
    </w:p>
    <w:p w14:paraId="31C0BC1F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87" w:lineRule="auto"/>
        <w:rPr>
          <w:rStyle w:val="WPHyperlink"/>
          <w:rFonts w:ascii="Arial" w:hAnsi="Arial" w:cs="Arial"/>
          <w:color w:val="000000"/>
          <w:u w:val="none"/>
        </w:rPr>
      </w:pPr>
    </w:p>
    <w:p w14:paraId="49FDC482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87" w:lineRule="auto"/>
        <w:rPr>
          <w:rStyle w:val="WPHyperlink"/>
          <w:rFonts w:ascii="Arial" w:hAnsi="Arial" w:cs="Arial"/>
          <w:color w:val="000000"/>
          <w:u w:val="none"/>
        </w:rPr>
      </w:pPr>
    </w:p>
    <w:p w14:paraId="27688180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/>
        <w:rPr>
          <w:rStyle w:val="WPHyperlink"/>
          <w:rFonts w:ascii="Arial" w:hAnsi="Arial" w:cs="Arial"/>
          <w:color w:val="000000"/>
          <w:u w:val="none"/>
        </w:rPr>
      </w:pPr>
    </w:p>
    <w:p w14:paraId="6F3CCFE8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215" w:lineRule="auto"/>
        <w:rPr>
          <w:rStyle w:val="WPHyperlink"/>
          <w:rFonts w:ascii="Arial" w:hAnsi="Arial" w:cs="Arial"/>
          <w:color w:val="000000"/>
          <w:u w:val="none"/>
        </w:rPr>
      </w:pPr>
    </w:p>
    <w:p w14:paraId="0B00F145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167" w:lineRule="auto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 xml:space="preserve">Robert A. </w:t>
      </w:r>
      <w:proofErr w:type="gramStart"/>
      <w:r w:rsidRPr="005745F0">
        <w:rPr>
          <w:rStyle w:val="WPHyperlink"/>
          <w:rFonts w:ascii="Arial" w:hAnsi="Arial" w:cs="Arial"/>
          <w:color w:val="000000"/>
          <w:u w:val="none"/>
        </w:rPr>
        <w:t>Miller  #</w:t>
      </w:r>
      <w:proofErr w:type="gramEnd"/>
      <w:r w:rsidRPr="005745F0">
        <w:rPr>
          <w:rStyle w:val="WPHyperlink"/>
          <w:rFonts w:ascii="Arial" w:hAnsi="Arial" w:cs="Arial"/>
          <w:color w:val="000000"/>
          <w:u w:val="none"/>
        </w:rPr>
        <w:t>100</w:t>
      </w:r>
      <w:r w:rsidRPr="005745F0">
        <w:rPr>
          <w:rStyle w:val="WPHyperlink"/>
          <w:rFonts w:ascii="Arial" w:hAnsi="Arial" w:cs="Arial"/>
          <w:color w:val="000000"/>
          <w:u w:val="none"/>
        </w:rPr>
        <w:t>121</w:t>
      </w:r>
    </w:p>
    <w:p w14:paraId="3E348C74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167" w:lineRule="auto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>505 N. County Farm Road</w:t>
      </w:r>
    </w:p>
    <w:p w14:paraId="00FD1450" w14:textId="77777777" w:rsidR="0000000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167" w:lineRule="auto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>Wheaton, IL 60187</w:t>
      </w:r>
    </w:p>
    <w:p w14:paraId="0800F032" w14:textId="77777777" w:rsidR="005745F0" w:rsidRPr="005745F0" w:rsidRDefault="005745F0">
      <w:pPr>
        <w:widowControl w:val="0"/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after="100" w:line="167" w:lineRule="auto"/>
        <w:rPr>
          <w:rStyle w:val="WPHyperlink"/>
          <w:rFonts w:ascii="Arial" w:hAnsi="Arial" w:cs="Arial"/>
          <w:color w:val="000000"/>
          <w:u w:val="none"/>
        </w:rPr>
      </w:pPr>
      <w:r w:rsidRPr="005745F0">
        <w:rPr>
          <w:rStyle w:val="WPHyperlink"/>
          <w:rFonts w:ascii="Arial" w:hAnsi="Arial" w:cs="Arial"/>
          <w:color w:val="000000"/>
          <w:u w:val="none"/>
        </w:rPr>
        <w:t>630-682-7180</w:t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  <w:r w:rsidRPr="005745F0">
        <w:rPr>
          <w:rStyle w:val="WPHyperlink"/>
          <w:rFonts w:ascii="Arial" w:hAnsi="Arial" w:cs="Arial"/>
          <w:color w:val="000000"/>
          <w:u w:val="none"/>
        </w:rPr>
        <w:tab/>
      </w:r>
    </w:p>
    <w:sectPr w:rsidR="005745F0" w:rsidRPr="005745F0">
      <w:type w:val="continuous"/>
      <w:pgSz w:w="12240" w:h="15840"/>
      <w:pgMar w:top="1920" w:right="1296" w:bottom="19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Calibri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56F"/>
    <w:rsid w:val="005745F0"/>
    <w:rsid w:val="00D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07D11"/>
  <w15:chartTrackingRefBased/>
  <w15:docId w15:val="{8BE952CC-9867-4376-80F7-1E0CF8A5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YSHYPERTEXT">
    <w:name w:val="SYS_HYPERTEX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cp:lastModifiedBy>Miller, Robert A.</cp:lastModifiedBy>
  <cp:revision>2</cp:revision>
  <cp:lastPrinted>2020-03-19T22:54:00Z</cp:lastPrinted>
  <dcterms:created xsi:type="dcterms:W3CDTF">2020-03-19T17:54:00Z</dcterms:created>
  <dcterms:modified xsi:type="dcterms:W3CDTF">2020-03-19T17:54:00Z</dcterms:modified>
</cp:coreProperties>
</file>