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0957" w14:textId="6CC78905" w:rsidR="0047453D" w:rsidRDefault="0047453D" w:rsidP="00E40C31">
      <w:pPr>
        <w:widowControl w:val="0"/>
        <w:tabs>
          <w:tab w:val="center" w:pos="4680"/>
        </w:tabs>
        <w:jc w:val="center"/>
        <w:rPr>
          <w:rFonts w:ascii="Times New" w:hAnsi="Times New"/>
          <w:b/>
          <w:color w:val="000000"/>
        </w:rPr>
      </w:pPr>
      <w:r>
        <w:fldChar w:fldCharType="begin"/>
      </w:r>
      <w:r>
        <w:instrText xml:space="preserve"> SEQ CHAPTER \h \r 1</w:instrText>
      </w:r>
      <w:r>
        <w:fldChar w:fldCharType="end"/>
      </w:r>
      <w:bookmarkStart w:id="0" w:name="_GoBack"/>
      <w:bookmarkEnd w:id="0"/>
      <w:r>
        <w:rPr>
          <w:rFonts w:ascii="Times New" w:hAnsi="Times New"/>
          <w:b/>
          <w:color w:val="000000"/>
        </w:rPr>
        <w:t>STATE OF ILLINOIS</w:t>
      </w:r>
    </w:p>
    <w:p w14:paraId="0F034A64" w14:textId="59FDC452" w:rsidR="0047453D" w:rsidRDefault="0047453D" w:rsidP="00E40C31">
      <w:pPr>
        <w:widowControl w:val="0"/>
        <w:tabs>
          <w:tab w:val="left" w:pos="-1440"/>
          <w:tab w:val="left" w:pos="-720"/>
          <w:tab w:val="right" w:leader="dot" w:pos="0"/>
          <w:tab w:val="left" w:pos="720"/>
          <w:tab w:val="left" w:pos="5040"/>
          <w:tab w:val="left" w:pos="5760"/>
          <w:tab w:val="left" w:pos="6480"/>
        </w:tabs>
        <w:jc w:val="center"/>
        <w:rPr>
          <w:rFonts w:ascii="Times New" w:hAnsi="Times New"/>
          <w:color w:val="000000"/>
        </w:rPr>
      </w:pPr>
      <w:r>
        <w:rPr>
          <w:rFonts w:ascii="Times New" w:hAnsi="Times New"/>
          <w:b/>
          <w:color w:val="000000"/>
        </w:rPr>
        <w:t>IN THE CIRCUIT COURT OF THE COUNTY OF COOK</w:t>
      </w:r>
    </w:p>
    <w:p w14:paraId="0C499481" w14:textId="77615A06" w:rsidR="0047453D" w:rsidRDefault="0047453D" w:rsidP="00E40C31">
      <w:pPr>
        <w:widowControl w:val="0"/>
        <w:jc w:val="center"/>
        <w:rPr>
          <w:rFonts w:ascii="Times New" w:hAnsi="Times New"/>
          <w:color w:val="000000"/>
        </w:rPr>
      </w:pPr>
    </w:p>
    <w:p w14:paraId="7DD2D8D9" w14:textId="78FBDC02" w:rsidR="0047453D" w:rsidRDefault="0047453D" w:rsidP="00F66460">
      <w:pPr>
        <w:widowControl w:val="0"/>
        <w:rPr>
          <w:rFonts w:ascii="Times New" w:hAnsi="Times New"/>
          <w:color w:val="000000"/>
        </w:rPr>
      </w:pPr>
      <w:r>
        <w:rPr>
          <w:rFonts w:ascii="Times New" w:hAnsi="Times New"/>
          <w:color w:val="000000"/>
        </w:rPr>
        <w:t>PEOPLE OF THE STATE OF ILLINOIS</w:t>
      </w:r>
      <w:r>
        <w:rPr>
          <w:rFonts w:ascii="Times New" w:hAnsi="Times New"/>
          <w:color w:val="000000"/>
        </w:rPr>
        <w:tab/>
      </w:r>
      <w:r w:rsidR="00F66460">
        <w:rPr>
          <w:rFonts w:ascii="Times New" w:hAnsi="Times New"/>
          <w:color w:val="000000"/>
        </w:rPr>
        <w:tab/>
      </w:r>
      <w:r w:rsidR="00F66460">
        <w:rPr>
          <w:rFonts w:ascii="Times New" w:hAnsi="Times New"/>
          <w:color w:val="000000"/>
        </w:rPr>
        <w:tab/>
      </w:r>
      <w:r>
        <w:rPr>
          <w:rFonts w:ascii="Times New" w:hAnsi="Times New"/>
          <w:color w:val="000000"/>
        </w:rPr>
        <w:t>)</w:t>
      </w:r>
    </w:p>
    <w:p w14:paraId="1CD601AF" w14:textId="634F6C55" w:rsidR="0047453D" w:rsidRDefault="0047453D" w:rsidP="00F66460">
      <w:pPr>
        <w:widowControl w:val="0"/>
        <w:rPr>
          <w:rFonts w:ascii="Times New" w:hAnsi="Times New"/>
          <w:color w:val="000000"/>
        </w:rPr>
      </w:pPr>
      <w:r>
        <w:rPr>
          <w:rFonts w:ascii="Times New" w:hAnsi="Times New"/>
          <w:color w:val="000000"/>
        </w:rPr>
        <w:t>PLAINTIFF,</w:t>
      </w:r>
      <w:r>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Pr>
          <w:rFonts w:ascii="Times New" w:hAnsi="Times New"/>
          <w:color w:val="000000"/>
        </w:rPr>
        <w:t>)</w:t>
      </w:r>
    </w:p>
    <w:p w14:paraId="590B4BFF" w14:textId="01975B08" w:rsidR="0047453D" w:rsidRDefault="0047453D" w:rsidP="00F66460">
      <w:pPr>
        <w:widowControl w:val="0"/>
        <w:ind w:left="5040" w:firstLine="720"/>
        <w:rPr>
          <w:rFonts w:ascii="Times New" w:hAnsi="Times New"/>
          <w:color w:val="000000"/>
        </w:rPr>
      </w:pPr>
      <w:r>
        <w:rPr>
          <w:rFonts w:ascii="Times New" w:hAnsi="Times New"/>
          <w:color w:val="000000"/>
        </w:rPr>
        <w:t>)</w:t>
      </w:r>
    </w:p>
    <w:p w14:paraId="216F6309" w14:textId="268BF289" w:rsidR="0047453D" w:rsidRDefault="0047453D" w:rsidP="00F66460">
      <w:pPr>
        <w:widowControl w:val="0"/>
        <w:ind w:left="5040" w:firstLine="720"/>
        <w:rPr>
          <w:rFonts w:ascii="Times New" w:hAnsi="Times New"/>
          <w:color w:val="000000"/>
        </w:rPr>
      </w:pPr>
      <w:r>
        <w:rPr>
          <w:rFonts w:ascii="Times New" w:hAnsi="Times New"/>
          <w:color w:val="000000"/>
        </w:rPr>
        <w:t>)</w:t>
      </w:r>
      <w:r>
        <w:rPr>
          <w:rFonts w:ascii="Times New" w:hAnsi="Times New"/>
          <w:color w:val="000000"/>
        </w:rPr>
        <w:tab/>
        <w:t>CRIMINAL</w:t>
      </w:r>
    </w:p>
    <w:p w14:paraId="49370B3D" w14:textId="46F0AE59" w:rsidR="0047453D" w:rsidRDefault="0047453D" w:rsidP="00F66460">
      <w:pPr>
        <w:widowControl w:val="0"/>
        <w:rPr>
          <w:rFonts w:ascii="Times New" w:hAnsi="Times New"/>
          <w:color w:val="000000"/>
        </w:rPr>
      </w:pPr>
      <w:r>
        <w:rPr>
          <w:rFonts w:ascii="Times New" w:hAnsi="Times New"/>
          <w:color w:val="000000"/>
        </w:rPr>
        <w:t>VS</w:t>
      </w:r>
      <w:r>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Pr>
          <w:rFonts w:ascii="Times New" w:hAnsi="Times New"/>
          <w:color w:val="000000"/>
        </w:rPr>
        <w:t>)</w:t>
      </w:r>
      <w:r>
        <w:rPr>
          <w:rFonts w:ascii="Times New" w:hAnsi="Times New"/>
          <w:color w:val="000000"/>
        </w:rPr>
        <w:tab/>
        <w:t>No.</w:t>
      </w:r>
      <w:r>
        <w:rPr>
          <w:rFonts w:ascii="Times New" w:hAnsi="Times New"/>
          <w:color w:val="000000"/>
        </w:rPr>
        <w:tab/>
        <w:t>02 CF 1618</w:t>
      </w:r>
    </w:p>
    <w:p w14:paraId="5FB6FB20" w14:textId="0D8BE47B" w:rsidR="0047453D" w:rsidRDefault="0047453D" w:rsidP="00F66460">
      <w:pPr>
        <w:widowControl w:val="0"/>
        <w:ind w:left="6480" w:hanging="720"/>
        <w:rPr>
          <w:rFonts w:ascii="Times New" w:hAnsi="Times New"/>
          <w:color w:val="000000"/>
        </w:rPr>
      </w:pPr>
      <w:r>
        <w:rPr>
          <w:rFonts w:ascii="Times New" w:hAnsi="Times New"/>
          <w:color w:val="000000"/>
        </w:rPr>
        <w:t>)</w:t>
      </w:r>
      <w:r>
        <w:rPr>
          <w:rFonts w:ascii="Times New" w:hAnsi="Times New"/>
          <w:color w:val="000000"/>
        </w:rPr>
        <w:tab/>
      </w:r>
      <w:r>
        <w:rPr>
          <w:rFonts w:ascii="Times New" w:hAnsi="Times New"/>
          <w:color w:val="000000"/>
        </w:rPr>
        <w:tab/>
        <w:t>(DuPage County)</w:t>
      </w:r>
    </w:p>
    <w:p w14:paraId="09CCDDE9" w14:textId="4AC8EAFF" w:rsidR="0047453D" w:rsidRDefault="0047453D" w:rsidP="00F66460">
      <w:pPr>
        <w:widowControl w:val="0"/>
        <w:ind w:left="5040" w:firstLine="720"/>
        <w:rPr>
          <w:rFonts w:ascii="Times New" w:hAnsi="Times New"/>
          <w:color w:val="000000"/>
        </w:rPr>
      </w:pPr>
      <w:r>
        <w:rPr>
          <w:rFonts w:ascii="Times New" w:hAnsi="Times New"/>
          <w:color w:val="000000"/>
        </w:rPr>
        <w:t>)</w:t>
      </w:r>
    </w:p>
    <w:p w14:paraId="1369DA9C" w14:textId="69BEFEF5" w:rsidR="0047453D" w:rsidRDefault="0047453D" w:rsidP="00F66460">
      <w:pPr>
        <w:widowControl w:val="0"/>
        <w:rPr>
          <w:rFonts w:ascii="Times New" w:hAnsi="Times New"/>
          <w:color w:val="000000"/>
        </w:rPr>
      </w:pPr>
      <w:r>
        <w:rPr>
          <w:rFonts w:ascii="Times New" w:hAnsi="Times New"/>
          <w:color w:val="000000"/>
        </w:rPr>
        <w:t>SKYLER M. CHAMBERS</w:t>
      </w:r>
      <w:r>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Pr>
          <w:rFonts w:ascii="Times New" w:hAnsi="Times New"/>
          <w:color w:val="000000"/>
        </w:rPr>
        <w:t>)</w:t>
      </w:r>
    </w:p>
    <w:p w14:paraId="5EF45788" w14:textId="4B9AB9B4" w:rsidR="0047453D" w:rsidRDefault="0047453D" w:rsidP="00F66460">
      <w:pPr>
        <w:widowControl w:val="0"/>
        <w:rPr>
          <w:rFonts w:ascii="Times New" w:hAnsi="Times New"/>
          <w:color w:val="000000"/>
        </w:rPr>
      </w:pPr>
      <w:r>
        <w:rPr>
          <w:rFonts w:ascii="Times New" w:hAnsi="Times New"/>
          <w:color w:val="000000"/>
        </w:rPr>
        <w:t>DEFENDANT.</w:t>
      </w:r>
      <w:r>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sidR="00F66460">
        <w:rPr>
          <w:rFonts w:ascii="Times New" w:hAnsi="Times New"/>
          <w:color w:val="000000"/>
        </w:rPr>
        <w:tab/>
      </w:r>
      <w:r>
        <w:rPr>
          <w:rFonts w:ascii="Times New" w:hAnsi="Times New"/>
          <w:color w:val="000000"/>
        </w:rPr>
        <w:t>)</w:t>
      </w:r>
    </w:p>
    <w:p w14:paraId="5ECED379" w14:textId="77777777" w:rsidR="0047453D" w:rsidRDefault="0047453D">
      <w:pPr>
        <w:widowControl w:val="0"/>
        <w:rPr>
          <w:rFonts w:ascii="Times New" w:hAnsi="Times New"/>
          <w:color w:val="000000"/>
        </w:rPr>
      </w:pPr>
    </w:p>
    <w:p w14:paraId="3F93A558" w14:textId="77777777" w:rsidR="0047453D" w:rsidRDefault="0047453D">
      <w:pPr>
        <w:widowControl w:val="0"/>
        <w:rPr>
          <w:rFonts w:ascii="Times New" w:hAnsi="Times New"/>
          <w:color w:val="000000"/>
        </w:rPr>
      </w:pPr>
    </w:p>
    <w:p w14:paraId="1E3AF963" w14:textId="77777777" w:rsidR="0047453D" w:rsidRDefault="0047453D">
      <w:pPr>
        <w:widowControl w:val="0"/>
        <w:rPr>
          <w:rFonts w:ascii="Times New" w:hAnsi="Times New"/>
          <w:color w:val="000000"/>
        </w:rPr>
      </w:pPr>
      <w:r>
        <w:rPr>
          <w:rFonts w:ascii="Times New" w:hAnsi="Times New"/>
          <w:color w:val="000000"/>
        </w:rPr>
        <w:tab/>
      </w:r>
      <w:r>
        <w:rPr>
          <w:rFonts w:ascii="Times New" w:hAnsi="Times New"/>
          <w:color w:val="000000"/>
        </w:rPr>
        <w:tab/>
      </w:r>
    </w:p>
    <w:p w14:paraId="577E0B54" w14:textId="77777777" w:rsidR="0047453D" w:rsidRDefault="0047453D">
      <w:pPr>
        <w:widowControl w:val="0"/>
        <w:tabs>
          <w:tab w:val="center" w:pos="4680"/>
        </w:tabs>
        <w:rPr>
          <w:rFonts w:ascii="Times New" w:hAnsi="Times New"/>
          <w:b/>
          <w:color w:val="000000"/>
          <w:u w:val="single"/>
        </w:rPr>
      </w:pPr>
      <w:r>
        <w:rPr>
          <w:rFonts w:ascii="Times New" w:hAnsi="Times New"/>
          <w:b/>
          <w:color w:val="000000"/>
        </w:rPr>
        <w:tab/>
      </w:r>
      <w:r>
        <w:rPr>
          <w:rFonts w:ascii="Times New" w:hAnsi="Times New"/>
          <w:b/>
          <w:color w:val="000000"/>
          <w:u w:val="single"/>
        </w:rPr>
        <w:t>DEFENDANT'S RESPONSE TO PEOPLE'S</w:t>
      </w:r>
    </w:p>
    <w:p w14:paraId="1985707B" w14:textId="77777777" w:rsidR="0047453D" w:rsidRDefault="0047453D">
      <w:pPr>
        <w:widowControl w:val="0"/>
        <w:tabs>
          <w:tab w:val="center" w:pos="4680"/>
        </w:tabs>
        <w:rPr>
          <w:rFonts w:ascii="Times New" w:hAnsi="Times New"/>
          <w:b/>
          <w:color w:val="000000"/>
          <w:u w:val="single"/>
        </w:rPr>
      </w:pPr>
      <w:r>
        <w:rPr>
          <w:rFonts w:ascii="Times New" w:hAnsi="Times New"/>
          <w:b/>
          <w:color w:val="000000"/>
        </w:rPr>
        <w:tab/>
      </w:r>
      <w:r>
        <w:rPr>
          <w:rFonts w:ascii="Times New" w:hAnsi="Times New"/>
          <w:b/>
          <w:color w:val="000000"/>
          <w:u w:val="single"/>
        </w:rPr>
        <w:t>MOTION REGARDING EVIDENCE OF OTHER CRIMES</w:t>
      </w:r>
    </w:p>
    <w:p w14:paraId="2F38E5CB" w14:textId="77777777" w:rsidR="0047453D" w:rsidRDefault="0047453D">
      <w:pPr>
        <w:widowControl w:val="0"/>
        <w:tabs>
          <w:tab w:val="left" w:pos="-1440"/>
          <w:tab w:val="left" w:pos="-720"/>
          <w:tab w:val="left" w:pos="720"/>
          <w:tab w:val="left" w:pos="1296"/>
          <w:tab w:val="left" w:pos="1728"/>
          <w:tab w:val="left" w:pos="2160"/>
          <w:tab w:val="left" w:pos="2592"/>
          <w:tab w:val="left" w:pos="3024"/>
          <w:tab w:val="left" w:pos="3456"/>
          <w:tab w:val="left" w:pos="5616"/>
        </w:tabs>
        <w:rPr>
          <w:rFonts w:ascii="Times New" w:hAnsi="Times New"/>
          <w:color w:val="000000"/>
        </w:rPr>
      </w:pPr>
    </w:p>
    <w:p w14:paraId="34D45EAF" w14:textId="77777777" w:rsidR="0047453D" w:rsidRDefault="0047453D">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color w:val="000000"/>
        </w:rPr>
      </w:pPr>
      <w:r>
        <w:rPr>
          <w:rFonts w:ascii="Times New" w:hAnsi="Times New"/>
          <w:color w:val="000000"/>
        </w:rPr>
        <w:tab/>
        <w:t xml:space="preserve">NOW COMES the </w:t>
      </w:r>
      <w:proofErr w:type="gramStart"/>
      <w:r>
        <w:rPr>
          <w:rFonts w:ascii="Times New" w:hAnsi="Times New"/>
          <w:color w:val="000000"/>
        </w:rPr>
        <w:t>Defendant,  SKYLER</w:t>
      </w:r>
      <w:proofErr w:type="gramEnd"/>
      <w:r>
        <w:rPr>
          <w:rFonts w:ascii="Times New" w:hAnsi="Times New"/>
          <w:color w:val="000000"/>
        </w:rPr>
        <w:t xml:space="preserve"> M. CHAMBERS, by one of his attorneys, Robert A. Miller, DuPage County Public Defender, and moves the Court to deny the People's   </w:t>
      </w:r>
      <w:r>
        <w:rPr>
          <w:rFonts w:ascii="Times New" w:hAnsi="Times New"/>
          <w:color w:val="000000"/>
          <w:u w:val="single"/>
        </w:rPr>
        <w:t>MOTION REGARDING EVIDENCE OF OTHER CRIMES</w:t>
      </w:r>
      <w:r>
        <w:rPr>
          <w:rFonts w:ascii="Times New" w:hAnsi="Times New"/>
          <w:color w:val="000000"/>
        </w:rPr>
        <w:t xml:space="preserve">   In support of this motion, Defendant states as follows:</w:t>
      </w:r>
    </w:p>
    <w:p w14:paraId="5241336B" w14:textId="77777777" w:rsidR="0047453D" w:rsidRDefault="0047453D">
      <w:pPr>
        <w:widowControl w:val="0"/>
        <w:tabs>
          <w:tab w:val="left" w:pos="-1440"/>
          <w:tab w:val="left" w:pos="-720"/>
          <w:tab w:val="left" w:pos="720"/>
          <w:tab w:val="left" w:pos="1296"/>
          <w:tab w:val="left" w:pos="1728"/>
          <w:tab w:val="left" w:pos="2160"/>
          <w:tab w:val="left" w:pos="2592"/>
          <w:tab w:val="left" w:pos="3024"/>
          <w:tab w:val="left" w:pos="3456"/>
          <w:tab w:val="left" w:pos="5616"/>
        </w:tabs>
        <w:spacing w:line="264" w:lineRule="auto"/>
        <w:rPr>
          <w:rFonts w:ascii="Times New" w:hAnsi="Times New"/>
          <w:color w:val="000000"/>
        </w:rPr>
      </w:pPr>
      <w:r>
        <w:rPr>
          <w:rFonts w:ascii="Times New" w:hAnsi="Times New"/>
          <w:color w:val="000000"/>
        </w:rPr>
        <w:t xml:space="preserve">     </w:t>
      </w:r>
    </w:p>
    <w:p w14:paraId="2A5E7387" w14:textId="77777777" w:rsidR="0047453D" w:rsidRDefault="0047453D">
      <w:pPr>
        <w:widowControl w:val="0"/>
        <w:tabs>
          <w:tab w:val="left" w:pos="-1440"/>
          <w:tab w:val="left" w:pos="-720"/>
          <w:tab w:val="left" w:pos="720"/>
          <w:tab w:val="left" w:pos="1296"/>
          <w:tab w:val="left" w:pos="1728"/>
          <w:tab w:val="left" w:pos="2160"/>
          <w:tab w:val="left" w:pos="2592"/>
          <w:tab w:val="left" w:pos="3024"/>
          <w:tab w:val="left" w:pos="3456"/>
          <w:tab w:val="left" w:pos="5616"/>
        </w:tabs>
        <w:spacing w:after="100" w:line="264" w:lineRule="auto"/>
        <w:ind w:left="1296" w:hanging="576"/>
        <w:rPr>
          <w:rStyle w:val="WPHyperlink"/>
          <w:color w:val="000000"/>
          <w:u w:val="none"/>
        </w:rPr>
      </w:pPr>
      <w:r>
        <w:rPr>
          <w:rFonts w:ascii="Times New" w:hAnsi="Times New"/>
          <w:color w:val="000000"/>
        </w:rPr>
        <w:t xml:space="preserve">1.  </w:t>
      </w:r>
      <w:r>
        <w:rPr>
          <w:color w:val="000000"/>
        </w:rPr>
        <w:tab/>
        <w:t>When evidence of other crimes is offered, the trial judge must weigh its probative value against its prejudicial effect and may exclude the evidence if its prejudicial effect substantially outweighs its probative value</w:t>
      </w:r>
      <w:r>
        <w:rPr>
          <w:rFonts w:ascii="Times New" w:hAnsi="Times New"/>
          <w:color w:val="000000"/>
        </w:rPr>
        <w:t xml:space="preserve">. </w:t>
      </w:r>
      <w:hyperlink r:id="rId5" w:history="1">
        <w:r>
          <w:rPr>
            <w:rStyle w:val="WPHyperlink"/>
            <w:i/>
            <w:color w:val="000000"/>
          </w:rPr>
          <w:t xml:space="preserve">People v. </w:t>
        </w:r>
        <w:proofErr w:type="spellStart"/>
        <w:r>
          <w:rPr>
            <w:rStyle w:val="WPHyperlink"/>
            <w:i/>
            <w:color w:val="000000"/>
          </w:rPr>
          <w:t>Illgen</w:t>
        </w:r>
        <w:proofErr w:type="spellEnd"/>
        <w:r>
          <w:rPr>
            <w:rStyle w:val="WPHyperlink"/>
            <w:i/>
            <w:color w:val="000000"/>
          </w:rPr>
          <w:t>,</w:t>
        </w:r>
        <w:r>
          <w:rPr>
            <w:rStyle w:val="WPHyperlink"/>
            <w:color w:val="000000"/>
          </w:rPr>
          <w:t xml:space="preserve"> 145 Ill.2d 353, 365, 164 </w:t>
        </w:r>
        <w:proofErr w:type="spellStart"/>
        <w:r>
          <w:rPr>
            <w:rStyle w:val="WPHyperlink"/>
            <w:color w:val="000000"/>
          </w:rPr>
          <w:t>Ill.Dec</w:t>
        </w:r>
        <w:proofErr w:type="spellEnd"/>
        <w:r>
          <w:rPr>
            <w:rStyle w:val="WPHyperlink"/>
            <w:color w:val="000000"/>
          </w:rPr>
          <w:t>. 599, 583 N.E.2d 515 (1991)</w:t>
        </w:r>
      </w:hyperlink>
      <w:r>
        <w:rPr>
          <w:rStyle w:val="WPHyperlink"/>
          <w:color w:val="000000"/>
          <w:u w:val="none"/>
        </w:rPr>
        <w:t>.</w:t>
      </w:r>
      <w:r>
        <w:rPr>
          <w:rStyle w:val="WPHyperlink"/>
          <w:color w:val="000000"/>
          <w:u w:val="none"/>
        </w:rPr>
        <w:br/>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p>
    <w:p w14:paraId="0482CBDA"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2.</w:t>
      </w:r>
      <w:r>
        <w:rPr>
          <w:rStyle w:val="WPHyperlink"/>
          <w:color w:val="000000"/>
          <w:u w:val="none"/>
        </w:rPr>
        <w:tab/>
        <w:t xml:space="preserve"> Evidence of crimes for which a defendant is not on trial is inadmissible if relevant merely to establish the defendant's disposition or propensity to commit </w:t>
      </w:r>
      <w:proofErr w:type="spellStart"/>
      <w:r>
        <w:rPr>
          <w:rStyle w:val="WPHyperlink"/>
          <w:color w:val="000000"/>
          <w:u w:val="none"/>
        </w:rPr>
        <w:t>crime.</w:t>
      </w:r>
      <w:hyperlink r:id="rId6" w:history="1">
        <w:r>
          <w:rPr>
            <w:rStyle w:val="WPHyperlink"/>
            <w:i/>
            <w:color w:val="000000"/>
          </w:rPr>
          <w:t>People</w:t>
        </w:r>
        <w:proofErr w:type="spellEnd"/>
        <w:r>
          <w:rPr>
            <w:rStyle w:val="WPHyperlink"/>
            <w:i/>
            <w:color w:val="000000"/>
          </w:rPr>
          <w:t xml:space="preserve"> v. </w:t>
        </w:r>
        <w:proofErr w:type="spellStart"/>
        <w:r>
          <w:rPr>
            <w:rStyle w:val="WPHyperlink"/>
            <w:i/>
            <w:color w:val="000000"/>
          </w:rPr>
          <w:t>Thingvold</w:t>
        </w:r>
        <w:proofErr w:type="spellEnd"/>
        <w:r>
          <w:rPr>
            <w:rStyle w:val="WPHyperlink"/>
            <w:i/>
            <w:color w:val="000000"/>
          </w:rPr>
          <w:t>,</w:t>
        </w:r>
        <w:r>
          <w:rPr>
            <w:rStyle w:val="WPHyperlink"/>
            <w:color w:val="000000"/>
          </w:rPr>
          <w:t xml:space="preserve"> 145 Ill.2d 441, 452, 164 </w:t>
        </w:r>
        <w:proofErr w:type="spellStart"/>
        <w:r>
          <w:rPr>
            <w:rStyle w:val="WPHyperlink"/>
            <w:color w:val="000000"/>
          </w:rPr>
          <w:t>Ill.Dec</w:t>
        </w:r>
        <w:proofErr w:type="spellEnd"/>
        <w:r>
          <w:rPr>
            <w:rStyle w:val="WPHyperlink"/>
            <w:color w:val="000000"/>
          </w:rPr>
          <w:t>. 877, 584 N.E.2d 89 (1991)</w:t>
        </w:r>
      </w:hyperlink>
      <w:r>
        <w:rPr>
          <w:rStyle w:val="WPHyperlink"/>
          <w:color w:val="000000"/>
          <w:u w:val="none"/>
        </w:rPr>
        <w:t xml:space="preserve">; </w:t>
      </w:r>
      <w:hyperlink r:id="rId7" w:history="1">
        <w:proofErr w:type="spellStart"/>
        <w:r>
          <w:rPr>
            <w:rStyle w:val="WPHyperlink"/>
            <w:i/>
            <w:color w:val="000000"/>
          </w:rPr>
          <w:t>Illgen</w:t>
        </w:r>
        <w:proofErr w:type="spellEnd"/>
        <w:r>
          <w:rPr>
            <w:rStyle w:val="WPHyperlink"/>
            <w:i/>
            <w:color w:val="000000"/>
          </w:rPr>
          <w:t>,</w:t>
        </w:r>
        <w:r>
          <w:rPr>
            <w:rStyle w:val="WPHyperlink"/>
            <w:color w:val="000000"/>
          </w:rPr>
          <w:t xml:space="preserve"> 145 Ill.2d at 364, 164 </w:t>
        </w:r>
        <w:proofErr w:type="spellStart"/>
        <w:r>
          <w:rPr>
            <w:rStyle w:val="WPHyperlink"/>
            <w:color w:val="000000"/>
          </w:rPr>
          <w:t>Ill.Dec</w:t>
        </w:r>
        <w:proofErr w:type="spellEnd"/>
        <w:r>
          <w:rPr>
            <w:rStyle w:val="WPHyperlink"/>
            <w:color w:val="000000"/>
          </w:rPr>
          <w:t>. 599, 583 N.E.2d 515</w:t>
        </w:r>
      </w:hyperlink>
      <w:r>
        <w:rPr>
          <w:rStyle w:val="WPHyperlink"/>
          <w:color w:val="000000"/>
          <w:u w:val="none"/>
        </w:rPr>
        <w:t xml:space="preserve">. </w:t>
      </w:r>
    </w:p>
    <w:p w14:paraId="28D31A73"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45AA86B8"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WPHyperlink"/>
          <w:color w:val="000000"/>
          <w:u w:val="none"/>
        </w:rPr>
      </w:pPr>
      <w:r>
        <w:rPr>
          <w:rStyle w:val="WPHyperlink"/>
          <w:color w:val="000000"/>
          <w:u w:val="none"/>
        </w:rPr>
        <w:tab/>
        <w:t>3.</w:t>
      </w:r>
      <w:r>
        <w:rPr>
          <w:rStyle w:val="WPHyperlink"/>
          <w:color w:val="000000"/>
          <w:u w:val="none"/>
        </w:rPr>
        <w:tab/>
        <w:t>However, evidence of other crimes committed by the accused may be admitted if it is probative of motive, intent, identity, absence of mistake or accident or the existence of a common design or plan or modus operandi</w:t>
      </w:r>
      <w:r>
        <w:rPr>
          <w:rStyle w:val="WPHyperlink"/>
          <w:i/>
          <w:color w:val="000000"/>
          <w:u w:val="none"/>
        </w:rPr>
        <w:t>.</w:t>
      </w:r>
      <w:r>
        <w:rPr>
          <w:rStyle w:val="WPHyperlink"/>
          <w:color w:val="000000"/>
          <w:u w:val="none"/>
        </w:rPr>
        <w:t xml:space="preserve"> </w:t>
      </w:r>
      <w:r>
        <w:rPr>
          <w:rStyle w:val="WPHyperlink"/>
          <w:i/>
          <w:color w:val="000000"/>
        </w:rPr>
        <w:t xml:space="preserve">People v. </w:t>
      </w:r>
      <w:hyperlink r:id="rId8" w:history="1">
        <w:r>
          <w:rPr>
            <w:rStyle w:val="WPHyperlink"/>
            <w:i/>
            <w:color w:val="000000"/>
          </w:rPr>
          <w:t>Lehman,</w:t>
        </w:r>
        <w:r>
          <w:rPr>
            <w:rStyle w:val="WPHyperlink"/>
            <w:color w:val="000000"/>
          </w:rPr>
          <w:t xml:space="preserve"> 5 Ill.2d at 342-43, 125 N.E.2d 506</w:t>
        </w:r>
      </w:hyperlink>
      <w:r>
        <w:rPr>
          <w:rStyle w:val="WPHyperlink"/>
          <w:color w:val="000000"/>
          <w:u w:val="none"/>
        </w:rPr>
        <w:t>.(1955)</w:t>
      </w:r>
    </w:p>
    <w:p w14:paraId="39FF0B9F"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086DB73F"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WPHyperlink"/>
          <w:color w:val="000000"/>
          <w:u w:val="none"/>
        </w:rPr>
      </w:pPr>
      <w:r>
        <w:rPr>
          <w:rStyle w:val="WPHyperlink"/>
          <w:color w:val="000000"/>
          <w:u w:val="none"/>
        </w:rPr>
        <w:tab/>
        <w:t>4.</w:t>
      </w:r>
      <w:r>
        <w:rPr>
          <w:rStyle w:val="WPHyperlink"/>
          <w:color w:val="000000"/>
          <w:u w:val="none"/>
        </w:rPr>
        <w:tab/>
        <w:t xml:space="preserve">Evidence of other crimes is objectionable not because it has little probative value, but rather because it has too much. </w:t>
      </w:r>
      <w:hyperlink r:id="rId9" w:history="1">
        <w:r>
          <w:rPr>
            <w:rStyle w:val="WPHyperlink"/>
            <w:i/>
            <w:color w:val="000000"/>
          </w:rPr>
          <w:t>People v. Lucas,</w:t>
        </w:r>
        <w:r>
          <w:rPr>
            <w:rStyle w:val="WPHyperlink"/>
            <w:color w:val="000000"/>
          </w:rPr>
          <w:t xml:space="preserve"> 151 Ill.2d 461, 485, 177 </w:t>
        </w:r>
        <w:proofErr w:type="spellStart"/>
        <w:r>
          <w:rPr>
            <w:rStyle w:val="WPHyperlink"/>
            <w:color w:val="000000"/>
          </w:rPr>
          <w:t>Ill.Dec</w:t>
        </w:r>
        <w:proofErr w:type="spellEnd"/>
        <w:r>
          <w:rPr>
            <w:rStyle w:val="WPHyperlink"/>
            <w:color w:val="000000"/>
          </w:rPr>
          <w:t>. 390, 603 N.E.2d 460 (1992)</w:t>
        </w:r>
      </w:hyperlink>
      <w:r>
        <w:rPr>
          <w:rStyle w:val="WPHyperlink"/>
          <w:color w:val="000000"/>
          <w:u w:val="none"/>
        </w:rPr>
        <w:t xml:space="preserve">. </w:t>
      </w:r>
    </w:p>
    <w:p w14:paraId="741B8F40"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60538043"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WPHyperlink"/>
          <w:color w:val="000000"/>
          <w:u w:val="none"/>
        </w:rPr>
      </w:pPr>
      <w:r>
        <w:rPr>
          <w:rStyle w:val="WPHyperlink"/>
          <w:color w:val="000000"/>
          <w:u w:val="none"/>
        </w:rPr>
        <w:tab/>
        <w:t>5.</w:t>
      </w:r>
      <w:r>
        <w:rPr>
          <w:rStyle w:val="WPHyperlink"/>
          <w:color w:val="000000"/>
          <w:u w:val="none"/>
        </w:rPr>
        <w:tab/>
        <w:t xml:space="preserve">Such evidence </w:t>
      </w:r>
      <w:proofErr w:type="spellStart"/>
      <w:r>
        <w:rPr>
          <w:rStyle w:val="WPHyperlink"/>
          <w:color w:val="000000"/>
          <w:u w:val="none"/>
        </w:rPr>
        <w:t>overpersuades</w:t>
      </w:r>
      <w:proofErr w:type="spellEnd"/>
      <w:r>
        <w:rPr>
          <w:rStyle w:val="WPHyperlink"/>
          <w:color w:val="000000"/>
          <w:u w:val="none"/>
        </w:rPr>
        <w:t xml:space="preserve"> a jury, which might convict the defendant only </w:t>
      </w:r>
      <w:r>
        <w:rPr>
          <w:rStyle w:val="WPHyperlink"/>
          <w:color w:val="000000"/>
          <w:u w:val="none"/>
        </w:rPr>
        <w:lastRenderedPageBreak/>
        <w:t xml:space="preserve">because it feels that defendant is a bad person who deserves punishment. </w:t>
      </w:r>
      <w:hyperlink r:id="rId10" w:history="1">
        <w:proofErr w:type="spellStart"/>
        <w:r>
          <w:rPr>
            <w:rStyle w:val="WPHyperlink"/>
            <w:i/>
            <w:color w:val="000000"/>
          </w:rPr>
          <w:t>Thingvold</w:t>
        </w:r>
        <w:proofErr w:type="spellEnd"/>
        <w:r>
          <w:rPr>
            <w:rStyle w:val="WPHyperlink"/>
            <w:i/>
            <w:color w:val="000000"/>
          </w:rPr>
          <w:t>,</w:t>
        </w:r>
        <w:r>
          <w:rPr>
            <w:rStyle w:val="WPHyperlink"/>
            <w:color w:val="000000"/>
          </w:rPr>
          <w:t xml:space="preserve"> 145 Ill.2d at 441, 164 </w:t>
        </w:r>
        <w:proofErr w:type="spellStart"/>
        <w:r>
          <w:rPr>
            <w:rStyle w:val="WPHyperlink"/>
            <w:color w:val="000000"/>
          </w:rPr>
          <w:t>Ill.Dec</w:t>
        </w:r>
        <w:proofErr w:type="spellEnd"/>
        <w:r>
          <w:rPr>
            <w:rStyle w:val="WPHyperlink"/>
            <w:color w:val="000000"/>
          </w:rPr>
          <w:t>. 877, 584 N.E.2d 89</w:t>
        </w:r>
      </w:hyperlink>
      <w:r>
        <w:rPr>
          <w:rStyle w:val="WPHyperlink"/>
          <w:color w:val="000000"/>
          <w:u w:val="none"/>
        </w:rPr>
        <w:t xml:space="preserve">. </w:t>
      </w:r>
    </w:p>
    <w:p w14:paraId="7E6C6779"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1FCA84B2"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WPHyperlink"/>
          <w:color w:val="000000"/>
          <w:u w:val="none"/>
        </w:rPr>
      </w:pPr>
      <w:r>
        <w:rPr>
          <w:rStyle w:val="WPHyperlink"/>
          <w:color w:val="000000"/>
          <w:u w:val="none"/>
        </w:rPr>
        <w:tab/>
        <w:t>6.</w:t>
      </w:r>
      <w:r>
        <w:rPr>
          <w:rStyle w:val="WPHyperlink"/>
          <w:color w:val="000000"/>
          <w:u w:val="none"/>
        </w:rPr>
        <w:tab/>
        <w:t xml:space="preserve">The law distrusts the inference that because a person has committed other crimes, he or she is more likely to have committed the current crime. "And so, as a matter of policy, where the testimony has no value beyond that inference, it is excluded." </w:t>
      </w:r>
      <w:hyperlink r:id="rId11" w:history="1">
        <w:r>
          <w:rPr>
            <w:rStyle w:val="WPHyperlink"/>
            <w:i/>
            <w:color w:val="000000"/>
          </w:rPr>
          <w:t>People v. Lehman,</w:t>
        </w:r>
        <w:r>
          <w:rPr>
            <w:rStyle w:val="WPHyperlink"/>
            <w:color w:val="000000"/>
          </w:rPr>
          <w:t xml:space="preserve"> 5 Ill.2d 337, 342, 125 N.E.2d 506 (1955)</w:t>
        </w:r>
      </w:hyperlink>
      <w:r>
        <w:rPr>
          <w:rStyle w:val="WPHyperlink"/>
          <w:color w:val="000000"/>
          <w:u w:val="none"/>
        </w:rPr>
        <w:t>.</w:t>
      </w:r>
      <w:r>
        <w:rPr>
          <w:rStyle w:val="WPHyperlink"/>
          <w:color w:val="000000"/>
          <w:u w:val="none"/>
        </w:rPr>
        <w:br/>
      </w:r>
    </w:p>
    <w:p w14:paraId="37515E55"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WPHyperlink"/>
          <w:color w:val="000000"/>
          <w:u w:val="none"/>
        </w:rPr>
      </w:pPr>
      <w:r>
        <w:rPr>
          <w:rStyle w:val="WPHyperlink"/>
          <w:color w:val="000000"/>
          <w:u w:val="none"/>
        </w:rPr>
        <w:tab/>
        <w:t>7.</w:t>
      </w:r>
      <w:r>
        <w:rPr>
          <w:rStyle w:val="WPHyperlink"/>
          <w:color w:val="000000"/>
        </w:rPr>
        <w:tab/>
      </w:r>
      <w:r>
        <w:rPr>
          <w:rStyle w:val="WPHyperlink"/>
          <w:color w:val="000000"/>
          <w:u w:val="none"/>
        </w:rPr>
        <w:t xml:space="preserve">Evidence of other offenses is admissible if relevant for any purpose other than to show propensity to commit a crime. </w:t>
      </w:r>
      <w:r>
        <w:rPr>
          <w:rStyle w:val="WPHyperlink"/>
          <w:color w:val="000000"/>
        </w:rPr>
        <w:t>(</w:t>
      </w:r>
      <w:hyperlink r:id="rId12" w:history="1">
        <w:r>
          <w:rPr>
            <w:rStyle w:val="WPHyperlink"/>
            <w:i/>
            <w:color w:val="000000"/>
          </w:rPr>
          <w:t>People v. Jones</w:t>
        </w:r>
        <w:r>
          <w:rPr>
            <w:rStyle w:val="WPHyperlink"/>
            <w:color w:val="000000"/>
          </w:rPr>
          <w:t xml:space="preserve"> (1993), 156 Ill.2d 225, 239, 189 </w:t>
        </w:r>
        <w:proofErr w:type="spellStart"/>
        <w:r>
          <w:rPr>
            <w:rStyle w:val="WPHyperlink"/>
            <w:color w:val="000000"/>
          </w:rPr>
          <w:t>Ill.Dec</w:t>
        </w:r>
        <w:proofErr w:type="spellEnd"/>
        <w:r>
          <w:rPr>
            <w:rStyle w:val="WPHyperlink"/>
            <w:color w:val="000000"/>
          </w:rPr>
          <w:t>. 357, 362, 620 N.E.2d 325, 330</w:t>
        </w:r>
      </w:hyperlink>
      <w:r>
        <w:rPr>
          <w:rStyle w:val="WPHyperlink"/>
          <w:color w:val="000000"/>
          <w:u w:val="none"/>
        </w:rPr>
        <w:t xml:space="preserve">.) </w:t>
      </w:r>
    </w:p>
    <w:p w14:paraId="479CA929"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60127245"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WPHyperlink"/>
          <w:color w:val="000000"/>
          <w:u w:val="none"/>
        </w:rPr>
      </w:pPr>
    </w:p>
    <w:p w14:paraId="3EB69BE1"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8.</w:t>
      </w:r>
      <w:r>
        <w:rPr>
          <w:rStyle w:val="WPHyperlink"/>
          <w:color w:val="000000"/>
          <w:u w:val="none"/>
        </w:rPr>
        <w:tab/>
        <w:t>In order for evidence of other crimes to be admissible, there must be some clear connection between the other crime and the crime charged which creates a logical inference that if defendant committed one of the acts, he may have committed the other act.' " (</w:t>
      </w:r>
      <w:hyperlink r:id="rId13" w:history="1">
        <w:r>
          <w:rPr>
            <w:rStyle w:val="WPHyperlink"/>
            <w:i/>
            <w:color w:val="000000"/>
          </w:rPr>
          <w:t xml:space="preserve">People v. </w:t>
        </w:r>
        <w:proofErr w:type="spellStart"/>
        <w:r>
          <w:rPr>
            <w:rStyle w:val="WPHyperlink"/>
            <w:i/>
            <w:color w:val="000000"/>
          </w:rPr>
          <w:t>Overlin</w:t>
        </w:r>
        <w:proofErr w:type="spellEnd"/>
        <w:r>
          <w:rPr>
            <w:rStyle w:val="WPHyperlink"/>
            <w:color w:val="000000"/>
          </w:rPr>
          <w:t xml:space="preserve"> (1993), 241 Ill.App.3d 530, 539, 181 </w:t>
        </w:r>
        <w:proofErr w:type="spellStart"/>
        <w:r>
          <w:rPr>
            <w:rStyle w:val="WPHyperlink"/>
            <w:color w:val="000000"/>
          </w:rPr>
          <w:t>Ill.Dec</w:t>
        </w:r>
        <w:proofErr w:type="spellEnd"/>
        <w:r>
          <w:rPr>
            <w:rStyle w:val="WPHyperlink"/>
            <w:color w:val="000000"/>
          </w:rPr>
          <w:t>. 674, 679, 608 N.E.2d 925, 930,</w:t>
        </w:r>
      </w:hyperlink>
      <w:r>
        <w:rPr>
          <w:rStyle w:val="WPHyperlink"/>
          <w:color w:val="000000"/>
          <w:u w:val="none"/>
        </w:rPr>
        <w:t xml:space="preserve"> quoting </w:t>
      </w:r>
      <w:hyperlink r:id="rId14" w:history="1">
        <w:r>
          <w:rPr>
            <w:rStyle w:val="WPHyperlink"/>
            <w:i/>
            <w:color w:val="000000"/>
          </w:rPr>
          <w:t>People v. Kimbrough</w:t>
        </w:r>
        <w:r>
          <w:rPr>
            <w:rStyle w:val="WPHyperlink"/>
            <w:color w:val="000000"/>
          </w:rPr>
          <w:t xml:space="preserve"> (1985), 138 Ill.App.3d 481, 486-87, 93 </w:t>
        </w:r>
        <w:proofErr w:type="spellStart"/>
        <w:r>
          <w:rPr>
            <w:rStyle w:val="WPHyperlink"/>
            <w:color w:val="000000"/>
          </w:rPr>
          <w:t>Ill.Dec</w:t>
        </w:r>
        <w:proofErr w:type="spellEnd"/>
        <w:r>
          <w:rPr>
            <w:rStyle w:val="WPHyperlink"/>
            <w:color w:val="000000"/>
          </w:rPr>
          <w:t>. 82, 87, 485 N.E.2d 1292, 1297</w:t>
        </w:r>
      </w:hyperlink>
      <w:r>
        <w:rPr>
          <w:rStyle w:val="WPHyperlink"/>
          <w:color w:val="000000"/>
          <w:u w:val="none"/>
        </w:rPr>
        <w:t xml:space="preserve">.) </w:t>
      </w:r>
    </w:p>
    <w:p w14:paraId="7E86E645"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183CD59D"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9.</w:t>
      </w:r>
      <w:r>
        <w:rPr>
          <w:rStyle w:val="WPHyperlink"/>
          <w:color w:val="000000"/>
          <w:u w:val="none"/>
        </w:rPr>
        <w:tab/>
        <w:t xml:space="preserve">The inference does not arise where the features linking the two crimes are common to many crimes, including those not committed by the defendant.  Illinois courts have adopted less stringent requirements than the "signature" requirement, that other-crimes evidence is admissible where the other offense is substantially similar and has common features with the offense charged. </w:t>
      </w:r>
      <w:hyperlink r:id="rId15" w:history="1">
        <w:r>
          <w:rPr>
            <w:rStyle w:val="WPHyperlink"/>
            <w:i/>
            <w:color w:val="000000"/>
          </w:rPr>
          <w:t>People v. Bryan</w:t>
        </w:r>
        <w:r>
          <w:rPr>
            <w:rStyle w:val="WPHyperlink"/>
            <w:color w:val="000000"/>
          </w:rPr>
          <w:t xml:space="preserve"> (1987), 159 Ill.App.3d 46, 51-52, 110 </w:t>
        </w:r>
        <w:proofErr w:type="spellStart"/>
        <w:r>
          <w:rPr>
            <w:rStyle w:val="WPHyperlink"/>
            <w:color w:val="000000"/>
          </w:rPr>
          <w:t>Ill.Dec</w:t>
        </w:r>
        <w:proofErr w:type="spellEnd"/>
        <w:r>
          <w:rPr>
            <w:rStyle w:val="WPHyperlink"/>
            <w:color w:val="000000"/>
          </w:rPr>
          <w:t>. 969, 973, 511 N.E.2d 1289, 1293</w:t>
        </w:r>
      </w:hyperlink>
    </w:p>
    <w:p w14:paraId="70DB94EA"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32ECCDA5"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10.</w:t>
      </w:r>
      <w:r>
        <w:rPr>
          <w:rStyle w:val="WPHyperlink"/>
          <w:color w:val="000000"/>
          <w:u w:val="none"/>
        </w:rPr>
        <w:tab/>
        <w:t xml:space="preserve">The People are attempting to introduce evidence that the Defendant engaged in negotiations with a Sheriff's Deputy </w:t>
      </w:r>
      <w:proofErr w:type="gramStart"/>
      <w:r>
        <w:rPr>
          <w:rStyle w:val="WPHyperlink"/>
          <w:color w:val="000000"/>
          <w:u w:val="none"/>
        </w:rPr>
        <w:t>to  falsify</w:t>
      </w:r>
      <w:proofErr w:type="gramEnd"/>
      <w:r>
        <w:rPr>
          <w:rStyle w:val="WPHyperlink"/>
          <w:color w:val="000000"/>
          <w:u w:val="none"/>
        </w:rPr>
        <w:t xml:space="preserve"> reports to support an inference that the Defendant suffered from mental health issues. </w:t>
      </w:r>
    </w:p>
    <w:p w14:paraId="4199F780"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4AB8CB0E"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11.</w:t>
      </w:r>
      <w:r>
        <w:rPr>
          <w:rStyle w:val="WPHyperlink"/>
          <w:color w:val="000000"/>
          <w:u w:val="none"/>
        </w:rPr>
        <w:tab/>
        <w:t>The charge of Bribery, which the People are attempting to introduce is based in part on an eavesdrop, which includes many "unintelligible" portions.</w:t>
      </w:r>
    </w:p>
    <w:p w14:paraId="2E52C4F5"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385AC1EC"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WPHyperlink"/>
          <w:color w:val="000000"/>
          <w:u w:val="none"/>
        </w:rPr>
      </w:pPr>
      <w:r>
        <w:rPr>
          <w:rStyle w:val="WPHyperlink"/>
          <w:color w:val="000000"/>
          <w:u w:val="none"/>
        </w:rPr>
        <w:tab/>
        <w:t>12.</w:t>
      </w:r>
      <w:r>
        <w:rPr>
          <w:rStyle w:val="WPHyperlink"/>
          <w:color w:val="000000"/>
          <w:u w:val="none"/>
        </w:rPr>
        <w:tab/>
        <w:t>The "unintelligible" portions cause the recording to be unreliable and untrustworthy.</w:t>
      </w:r>
      <w:r>
        <w:rPr>
          <w:rStyle w:val="WPHyperlink"/>
          <w:color w:val="000000"/>
          <w:u w:val="none"/>
        </w:rPr>
        <w:br/>
      </w:r>
    </w:p>
    <w:p w14:paraId="0CCE4930"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13.</w:t>
      </w:r>
      <w:r>
        <w:rPr>
          <w:rStyle w:val="WPHyperlink"/>
          <w:color w:val="000000"/>
          <w:u w:val="none"/>
        </w:rPr>
        <w:tab/>
        <w:t xml:space="preserve">A partially inaudible sound recording is admissible unless the inaudible portions are so substantial as to render the recording </w:t>
      </w:r>
      <w:proofErr w:type="gramStart"/>
      <w:r>
        <w:rPr>
          <w:rStyle w:val="WPHyperlink"/>
          <w:color w:val="000000"/>
          <w:u w:val="none"/>
        </w:rPr>
        <w:t>untrustworthy as a whole</w:t>
      </w:r>
      <w:proofErr w:type="gramEnd"/>
      <w:r>
        <w:rPr>
          <w:rStyle w:val="WPHyperlink"/>
          <w:color w:val="000000"/>
          <w:u w:val="none"/>
        </w:rPr>
        <w:t xml:space="preserve">. The admission of a recording that is partially inaudible, or that reproduces only part of a statement or conversation, is a matter within the trial court's discretion.   </w:t>
      </w:r>
      <w:hyperlink r:id="rId16" w:history="1">
        <w:r>
          <w:rPr>
            <w:rStyle w:val="WPHyperlink"/>
            <w:i/>
            <w:color w:val="000000"/>
          </w:rPr>
          <w:t xml:space="preserve">People </w:t>
        </w:r>
        <w:r>
          <w:rPr>
            <w:rStyle w:val="WPHyperlink"/>
            <w:i/>
            <w:color w:val="000000"/>
          </w:rPr>
          <w:lastRenderedPageBreak/>
          <w:t>v. Dougherty,</w:t>
        </w:r>
        <w:r>
          <w:rPr>
            <w:rStyle w:val="WPHyperlink"/>
            <w:color w:val="000000"/>
          </w:rPr>
          <w:t xml:space="preserve"> 160 Ill.App.3d 870, 876, 112 </w:t>
        </w:r>
        <w:proofErr w:type="spellStart"/>
        <w:r>
          <w:rPr>
            <w:rStyle w:val="WPHyperlink"/>
            <w:color w:val="000000"/>
          </w:rPr>
          <w:t>Ill.Dec</w:t>
        </w:r>
        <w:proofErr w:type="spellEnd"/>
        <w:r>
          <w:rPr>
            <w:rStyle w:val="WPHyperlink"/>
            <w:color w:val="000000"/>
          </w:rPr>
          <w:t>. 337, 513 N.E.2d 946 (1987)</w:t>
        </w:r>
      </w:hyperlink>
      <w:r>
        <w:rPr>
          <w:rStyle w:val="WPHyperlink"/>
          <w:color w:val="000000"/>
          <w:u w:val="none"/>
        </w:rPr>
        <w:t xml:space="preserve">; accord </w:t>
      </w:r>
      <w:hyperlink r:id="rId17" w:history="1">
        <w:r>
          <w:rPr>
            <w:rStyle w:val="WPHyperlink"/>
            <w:i/>
            <w:color w:val="000000"/>
          </w:rPr>
          <w:t>United States v. Robinson,</w:t>
        </w:r>
        <w:r>
          <w:rPr>
            <w:rStyle w:val="WPHyperlink"/>
            <w:color w:val="000000"/>
          </w:rPr>
          <w:t xml:space="preserve"> 956 F.2d 1388, 1395 (7th Cir.1992)</w:t>
        </w:r>
      </w:hyperlink>
      <w:hyperlink r:id="rId18" w:history="1"/>
      <w:r>
        <w:rPr>
          <w:rStyle w:val="WPHyperlink"/>
          <w:color w:val="000000"/>
          <w:u w:val="none"/>
        </w:rPr>
        <w:t>.</w:t>
      </w:r>
    </w:p>
    <w:p w14:paraId="60DA70BB"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10AE7B65" w14:textId="517FC429" w:rsidR="0047453D" w:rsidRDefault="00F66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ab/>
        <w:t>1</w:t>
      </w:r>
      <w:r w:rsidR="0047453D">
        <w:rPr>
          <w:rStyle w:val="WPHyperlink"/>
          <w:color w:val="000000"/>
          <w:u w:val="none"/>
        </w:rPr>
        <w:t>4.</w:t>
      </w:r>
      <w:r>
        <w:rPr>
          <w:rStyle w:val="WPHyperlink"/>
          <w:color w:val="000000"/>
          <w:u w:val="none"/>
        </w:rPr>
        <w:t xml:space="preserve">   </w:t>
      </w:r>
      <w:r>
        <w:rPr>
          <w:rStyle w:val="WPHyperlink"/>
          <w:color w:val="000000"/>
          <w:u w:val="none"/>
        </w:rPr>
        <w:tab/>
      </w:r>
      <w:r w:rsidR="0047453D">
        <w:rPr>
          <w:rStyle w:val="WPHyperlink"/>
          <w:color w:val="000000"/>
          <w:u w:val="none"/>
        </w:rPr>
        <w:t>The Defendant has not plead an affirmative defense involving mental capacity.</w:t>
      </w:r>
    </w:p>
    <w:p w14:paraId="10C082FF"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446E380B"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15.</w:t>
      </w:r>
      <w:r>
        <w:rPr>
          <w:rStyle w:val="WPHyperlink"/>
          <w:color w:val="000000"/>
          <w:u w:val="none"/>
        </w:rPr>
        <w:tab/>
        <w:t xml:space="preserve">The introduction of evidence concerning the Defendant's pending bribery charge is not relevant for purposes </w:t>
      </w:r>
      <w:proofErr w:type="gramStart"/>
      <w:r>
        <w:rPr>
          <w:rStyle w:val="WPHyperlink"/>
          <w:color w:val="000000"/>
          <w:u w:val="none"/>
        </w:rPr>
        <w:t>of  motive</w:t>
      </w:r>
      <w:proofErr w:type="gramEnd"/>
      <w:r>
        <w:rPr>
          <w:rStyle w:val="WPHyperlink"/>
          <w:color w:val="000000"/>
          <w:u w:val="none"/>
        </w:rPr>
        <w:t>, intent, identity, absence of mistake or accident or the existence of a common design or plan or modus operandi.</w:t>
      </w:r>
    </w:p>
    <w:p w14:paraId="5368DBCE"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78C5578E"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1440" w:hanging="1440"/>
        <w:rPr>
          <w:rStyle w:val="WPHyperlink"/>
          <w:color w:val="000000"/>
          <w:u w:val="none"/>
        </w:rPr>
      </w:pPr>
      <w:r>
        <w:rPr>
          <w:rStyle w:val="WPHyperlink"/>
          <w:color w:val="000000"/>
          <w:u w:val="none"/>
        </w:rPr>
        <w:tab/>
        <w:t>16.</w:t>
      </w:r>
      <w:r>
        <w:rPr>
          <w:rStyle w:val="WPHyperlink"/>
          <w:color w:val="000000"/>
          <w:u w:val="none"/>
        </w:rPr>
        <w:tab/>
        <w:t>The introduction of evidence concerning the Defendant's pending bribery charge is far more prejudicial than probative.</w:t>
      </w:r>
    </w:p>
    <w:p w14:paraId="45BCEE1A"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7C073DAC"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rPr>
      </w:pPr>
      <w:r>
        <w:rPr>
          <w:rStyle w:val="WPHyperlink"/>
          <w:color w:val="000000"/>
          <w:u w:val="none"/>
        </w:rPr>
        <w:t xml:space="preserve">  </w:t>
      </w:r>
    </w:p>
    <w:p w14:paraId="62053C8F" w14:textId="6ED9467A" w:rsidR="00F66460" w:rsidRDefault="00F66460">
      <w:pPr>
        <w:widowControl w:val="0"/>
        <w:tabs>
          <w:tab w:val="right" w:pos="9360"/>
        </w:tabs>
        <w:spacing w:after="100"/>
        <w:rPr>
          <w:rStyle w:val="WPHyperlink"/>
          <w:rFonts w:ascii="Times New" w:hAnsi="Times New"/>
          <w:color w:val="000000"/>
        </w:rPr>
      </w:pPr>
      <w:r>
        <w:rPr>
          <w:rStyle w:val="WPHyperlink"/>
          <w:color w:val="000000"/>
          <w:u w:val="none"/>
        </w:rPr>
        <w:tab/>
        <w:t>W</w:t>
      </w:r>
      <w:r w:rsidR="0047453D">
        <w:rPr>
          <w:rStyle w:val="WPHyperlink"/>
          <w:color w:val="000000"/>
          <w:u w:val="none"/>
        </w:rPr>
        <w:t xml:space="preserve">HEREFORE, the Defendant asks that this Court deny the </w:t>
      </w:r>
      <w:proofErr w:type="gramStart"/>
      <w:r w:rsidR="0047453D">
        <w:rPr>
          <w:rStyle w:val="WPHyperlink"/>
          <w:color w:val="000000"/>
          <w:u w:val="none"/>
        </w:rPr>
        <w:t xml:space="preserve">People's  </w:t>
      </w:r>
      <w:r w:rsidR="0047453D">
        <w:rPr>
          <w:rStyle w:val="WPHyperlink"/>
          <w:rFonts w:ascii="Times New" w:hAnsi="Times New"/>
          <w:color w:val="000000"/>
        </w:rPr>
        <w:t>MOTION</w:t>
      </w:r>
      <w:proofErr w:type="gramEnd"/>
      <w:r w:rsidR="0047453D">
        <w:rPr>
          <w:rStyle w:val="WPHyperlink"/>
          <w:rFonts w:ascii="Times New" w:hAnsi="Times New"/>
          <w:color w:val="000000"/>
        </w:rPr>
        <w:t xml:space="preserve"> REGARDING</w:t>
      </w:r>
    </w:p>
    <w:p w14:paraId="3CD5F4B5" w14:textId="7DF12B3D" w:rsidR="0047453D" w:rsidRDefault="0047453D">
      <w:pPr>
        <w:widowControl w:val="0"/>
        <w:tabs>
          <w:tab w:val="right" w:pos="9360"/>
        </w:tabs>
        <w:spacing w:after="100"/>
        <w:rPr>
          <w:rStyle w:val="WPHyperlink"/>
          <w:color w:val="000000"/>
          <w:u w:val="none"/>
        </w:rPr>
      </w:pPr>
      <w:r>
        <w:rPr>
          <w:rStyle w:val="WPHyperlink"/>
          <w:rFonts w:ascii="Times New" w:hAnsi="Times New"/>
          <w:color w:val="000000"/>
        </w:rPr>
        <w:t xml:space="preserve"> EVIDENCE OF OTHER CRIMES</w:t>
      </w:r>
      <w:r>
        <w:rPr>
          <w:rStyle w:val="WPHyperlink"/>
          <w:rFonts w:ascii="Times New" w:hAnsi="Times New"/>
          <w:b/>
          <w:color w:val="000000"/>
        </w:rPr>
        <w:t>.</w:t>
      </w:r>
      <w:r>
        <w:rPr>
          <w:rStyle w:val="WPHyperlink"/>
          <w:color w:val="000000"/>
          <w:u w:val="none"/>
        </w:rPr>
        <w:tab/>
      </w:r>
    </w:p>
    <w:p w14:paraId="77199C17"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2C86247B"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p>
    <w:p w14:paraId="31323B8E"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5760" w:hanging="720"/>
        <w:rPr>
          <w:rStyle w:val="WPHyperlink"/>
          <w:color w:val="000000"/>
          <w:u w:val="none"/>
        </w:rPr>
      </w:pPr>
      <w:r>
        <w:rPr>
          <w:rStyle w:val="WPHyperlink"/>
          <w:color w:val="000000"/>
          <w:u w:val="none"/>
        </w:rPr>
        <w:t>SKYLER M. CHAMBERS, Defendant</w:t>
      </w:r>
    </w:p>
    <w:p w14:paraId="6F238B41"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p>
    <w:p w14:paraId="41A22031"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5760" w:hanging="720"/>
        <w:rPr>
          <w:rStyle w:val="WPHyperlink"/>
          <w:color w:val="000000"/>
          <w:u w:val="none"/>
        </w:rPr>
      </w:pPr>
      <w:r>
        <w:rPr>
          <w:rStyle w:val="WPHyperlink"/>
          <w:color w:val="000000"/>
          <w:u w:val="none"/>
        </w:rPr>
        <w:t>By___________________________</w:t>
      </w:r>
    </w:p>
    <w:p w14:paraId="03B9E114" w14:textId="1BBCF9DE"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firstLine="5040"/>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sidR="00F66460">
        <w:rPr>
          <w:rStyle w:val="WPHyperlink"/>
          <w:color w:val="000000"/>
          <w:u w:val="none"/>
        </w:rPr>
        <w:tab/>
      </w:r>
      <w:r w:rsidR="00F66460">
        <w:rPr>
          <w:rStyle w:val="WPHyperlink"/>
          <w:color w:val="000000"/>
          <w:u w:val="none"/>
        </w:rPr>
        <w:tab/>
      </w:r>
      <w:r w:rsidR="00F66460">
        <w:rPr>
          <w:rStyle w:val="WPHyperlink"/>
          <w:color w:val="000000"/>
          <w:u w:val="none"/>
        </w:rPr>
        <w:tab/>
      </w:r>
      <w:r w:rsidR="00F66460">
        <w:rPr>
          <w:rStyle w:val="WPHyperlink"/>
          <w:color w:val="000000"/>
          <w:u w:val="none"/>
        </w:rPr>
        <w:tab/>
      </w:r>
      <w:r w:rsidR="00F66460">
        <w:rPr>
          <w:rStyle w:val="WPHyperlink"/>
          <w:color w:val="000000"/>
          <w:u w:val="none"/>
        </w:rPr>
        <w:tab/>
      </w:r>
      <w:r>
        <w:rPr>
          <w:rStyle w:val="WPHyperlink"/>
          <w:color w:val="000000"/>
          <w:u w:val="none"/>
        </w:rPr>
        <w:t xml:space="preserve">Robert A. Miller, One </w:t>
      </w:r>
      <w:proofErr w:type="gramStart"/>
      <w:r>
        <w:rPr>
          <w:rStyle w:val="WPHyperlink"/>
          <w:color w:val="000000"/>
          <w:u w:val="none"/>
        </w:rPr>
        <w:t>Of  His</w:t>
      </w:r>
      <w:proofErr w:type="gramEnd"/>
      <w:r>
        <w:rPr>
          <w:rStyle w:val="WPHyperlink"/>
          <w:color w:val="000000"/>
          <w:u w:val="none"/>
        </w:rPr>
        <w:t xml:space="preserve"> Attorneys</w:t>
      </w:r>
    </w:p>
    <w:p w14:paraId="0CFC779D"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t>Public Defender</w:t>
      </w:r>
    </w:p>
    <w:p w14:paraId="4C85701E"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362AFD93"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2A4EBF9A"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r>
        <w:rPr>
          <w:rStyle w:val="WPHyperlink"/>
          <w:color w:val="000000"/>
          <w:u w:val="none"/>
        </w:rPr>
        <w:tab/>
      </w:r>
    </w:p>
    <w:p w14:paraId="2A195090"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28346115"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7C7D2204"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678EE6EA"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703D9BC3"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p>
    <w:p w14:paraId="068D723E"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OFFICE OF THE PUBLIC DEFENDER</w:t>
      </w:r>
    </w:p>
    <w:p w14:paraId="7B64654C"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503 N. County Farm Road</w:t>
      </w:r>
    </w:p>
    <w:p w14:paraId="558F1E54"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color w:val="000000"/>
          <w:u w:val="none"/>
        </w:rPr>
      </w:pPr>
      <w:r>
        <w:rPr>
          <w:rStyle w:val="WPHyperlink"/>
          <w:color w:val="000000"/>
          <w:u w:val="none"/>
        </w:rPr>
        <w:t>Wheaton, IL 60187</w:t>
      </w:r>
    </w:p>
    <w:p w14:paraId="6E8B50F5" w14:textId="77777777" w:rsidR="0047453D" w:rsidRDefault="004745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Style w:val="WPHyperlink"/>
          <w:rFonts w:ascii="Times New" w:hAnsi="Times New"/>
        </w:rPr>
      </w:pPr>
      <w:r>
        <w:rPr>
          <w:rStyle w:val="WPHyperlink"/>
          <w:color w:val="000000"/>
          <w:u w:val="none"/>
        </w:rPr>
        <w:lastRenderedPageBreak/>
        <w:t>Phone: AC 630/407-8300</w:t>
      </w:r>
    </w:p>
    <w:sectPr w:rsidR="0047453D" w:rsidSect="0047453D">
      <w:type w:val="continuous"/>
      <w:pgSz w:w="12240" w:h="15840"/>
      <w:pgMar w:top="1632" w:right="1440" w:bottom="1650" w:left="1440" w:header="1152" w:footer="1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453D"/>
    <w:rsid w:val="0047453D"/>
    <w:rsid w:val="00E40C31"/>
    <w:rsid w:val="00F6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3C159"/>
  <w14:defaultImageDpi w14:val="0"/>
  <w15:docId w15:val="{DB70642A-3949-4774-B1C1-943293E1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DB=578&amp;SerialNum=1955109011&amp;FindType=Y&amp;AP=&amp;mt=Illinois&amp;fn=_top&amp;sv=Split&amp;vr=2.0&amp;rs=WLW4.1" TargetMode="External"/><Relationship Id="rId13" Type="http://schemas.openxmlformats.org/officeDocument/2006/relationships/hyperlink" Target="http://web2.westlaw.com/find/default.wl?DB=578&amp;SerialNum=1955109011&amp;FindType=Y&amp;AP=&amp;mt=Illinois&amp;fn=_top&amp;sv=Split&amp;vr=2.0&amp;rs=WLW4.1" TargetMode="External"/><Relationship Id="rId18" Type="http://schemas.openxmlformats.org/officeDocument/2006/relationships/hyperlink" Target="http://web2.westlaw.com/find/default.wl?DB=578&amp;SerialNum=1955109011&amp;FindType=Y&amp;AP=&amp;mt=Illinois&amp;fn=_top&amp;sv=Split&amp;vr=2.0&amp;rs=WLW4.1" TargetMode="External"/><Relationship Id="rId3" Type="http://schemas.openxmlformats.org/officeDocument/2006/relationships/settings" Target="settings.xml"/><Relationship Id="rId7" Type="http://schemas.openxmlformats.org/officeDocument/2006/relationships/hyperlink" Target="http://web2.westlaw.com/find/default.wl?DB=578&amp;SerialNum=1991191840&amp;FindType=Y&amp;AP=&amp;mt=Illinois&amp;fn=_top&amp;sv=Split&amp;vr=2.0&amp;rs=WLW4.1" TargetMode="External"/><Relationship Id="rId12" Type="http://schemas.openxmlformats.org/officeDocument/2006/relationships/hyperlink" Target="http://web2.westlaw.com/find/default.wl?DB=578&amp;SerialNum=1955109011&amp;FindType=Y&amp;AP=&amp;mt=Illinois&amp;fn=_top&amp;sv=Split&amp;vr=2.0&amp;rs=WLW4.1" TargetMode="External"/><Relationship Id="rId17" Type="http://schemas.openxmlformats.org/officeDocument/2006/relationships/hyperlink" Target="http://web2.westlaw.com/find/default.wl?DB=578&amp;SerialNum=1955109011&amp;FindType=Y&amp;AP=&amp;mt=Illinois&amp;fn=_top&amp;sv=Split&amp;vr=2.0&amp;rs=WLW4.1" TargetMode="External"/><Relationship Id="rId2" Type="http://schemas.openxmlformats.org/officeDocument/2006/relationships/styles" Target="styles.xml"/><Relationship Id="rId16" Type="http://schemas.openxmlformats.org/officeDocument/2006/relationships/hyperlink" Target="_"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2.westlaw.com/find/default.wl?DB=578&amp;SerialNum=1991205453&amp;FindType=Y&amp;AP=&amp;mt=Illinois&amp;fn=_top&amp;sv=Split&amp;vr=2.0&amp;rs=WLW4.1" TargetMode="External"/><Relationship Id="rId11" Type="http://schemas.openxmlformats.org/officeDocument/2006/relationships/hyperlink" Target="http://web2.westlaw.com/find/default.wl?DB=578&amp;SerialNum=1955109011&amp;FindType=Y&amp;AP=&amp;mt=Illinois&amp;fn=_top&amp;sv=Split&amp;vr=2.0&amp;rs=WLW4.1" TargetMode="External"/><Relationship Id="rId5" Type="http://schemas.openxmlformats.org/officeDocument/2006/relationships/hyperlink" Target="http://web2.westlaw.com/find/default.wl?DB=578&amp;SerialNum=1991191840&amp;FindType=Y&amp;AP=&amp;mt=Illinois&amp;fn=_top&amp;sv=Split&amp;vr=2.0&amp;rs=WLW4.1" TargetMode="External"/><Relationship Id="rId15" Type="http://schemas.openxmlformats.org/officeDocument/2006/relationships/hyperlink" Target="http://web2.westlaw.com/find/default.wl?DB=578&amp;SerialNum=1955109011&amp;FindType=Y&amp;AP=&amp;mt=Illinois&amp;fn=_top&amp;sv=Split&amp;vr=2.0&amp;rs=WLW4.1" TargetMode="External"/><Relationship Id="rId10" Type="http://schemas.openxmlformats.org/officeDocument/2006/relationships/hyperlink" Target="http://web2.westlaw.com/find/default.wl?DB=578&amp;SerialNum=1955109011&amp;FindType=Y&amp;AP=&amp;mt=Illinois&amp;fn=_top&amp;sv=Split&amp;vr=2.0&amp;rs=WLW4.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2.westlaw.com/find/default.wl?DB=578&amp;SerialNum=1955109011&amp;FindType=Y&amp;AP=&amp;mt=Illinois&amp;fn=_top&amp;sv=Split&amp;vr=2.0&amp;rs=WLW4.1" TargetMode="External"/><Relationship Id="rId14" Type="http://schemas.openxmlformats.org/officeDocument/2006/relationships/hyperlink" Target="http://web2.westlaw.com/find/default.wl?DB=578&amp;SerialNum=1955109011&amp;FindType=Y&amp;AP=&amp;mt=Illinois&amp;fn=_top&amp;sv=Split&amp;vr=2.0&amp;rs=WLW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Miller, Robert A.</cp:lastModifiedBy>
  <cp:revision>3</cp:revision>
  <dcterms:created xsi:type="dcterms:W3CDTF">2015-01-28T16:30:00Z</dcterms:created>
  <dcterms:modified xsi:type="dcterms:W3CDTF">2020-03-16T02:00:00Z</dcterms:modified>
</cp:coreProperties>
</file>